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w:t>
      </w:r>
      <w:r>
        <w:rPr>
          <w:rFonts w:hint="default" w:ascii="Arial" w:hAnsi="Arial" w:cs="Arial"/>
          <w:b/>
          <w:sz w:val="22"/>
          <w:szCs w:val="22"/>
          <w:lang w:val="en-US" w:eastAsia="zh-CN"/>
        </w:rPr>
        <w:t>7bis</w:t>
      </w:r>
      <w:r>
        <w:rPr>
          <w:rFonts w:ascii="Arial" w:hAnsi="Arial" w:cs="Arial"/>
          <w:b/>
          <w:sz w:val="22"/>
          <w:szCs w:val="22"/>
          <w:lang w:eastAsia="zh-CN"/>
        </w:rPr>
        <w:t>-e</w:t>
      </w:r>
      <w:r>
        <w:rPr>
          <w:rFonts w:ascii="Arial" w:hAnsi="Arial" w:cs="Arial"/>
          <w:b/>
          <w:sz w:val="22"/>
          <w:szCs w:val="22"/>
        </w:rPr>
        <w:tab/>
      </w:r>
      <w:r>
        <w:rPr>
          <w:rFonts w:hint="eastAsia" w:ascii="Arial" w:hAnsi="Arial" w:cs="Arial"/>
          <w:b/>
          <w:sz w:val="22"/>
          <w:szCs w:val="22"/>
        </w:rPr>
        <w:t>R1-2200112</w:t>
      </w:r>
    </w:p>
    <w:p>
      <w:pPr>
        <w:tabs>
          <w:tab w:val="right" w:pos="9630"/>
        </w:tabs>
        <w:spacing w:after="0"/>
        <w:rPr>
          <w:rFonts w:ascii="Arial" w:hAnsi="Arial" w:cs="Arial"/>
          <w:b/>
          <w:sz w:val="22"/>
          <w:szCs w:val="22"/>
        </w:rPr>
      </w:pPr>
      <w:r>
        <w:rPr>
          <w:rFonts w:hint="eastAsia" w:ascii="Arial" w:hAnsi="Arial" w:cs="Arial"/>
          <w:b/>
          <w:sz w:val="22"/>
          <w:szCs w:val="22"/>
        </w:rPr>
        <w:t>e-Meeting,</w:t>
      </w:r>
      <w:r>
        <w:rPr>
          <w:rFonts w:hint="eastAsia" w:ascii="Arial" w:hAnsi="Arial" w:eastAsia="宋体" w:cs="Arial"/>
          <w:b/>
          <w:sz w:val="22"/>
          <w:szCs w:val="22"/>
        </w:rPr>
        <w:t xml:space="preserve"> </w:t>
      </w:r>
      <w:r>
        <w:rPr>
          <w:rFonts w:hint="default" w:ascii="Arial" w:hAnsi="Arial" w:eastAsia="宋体" w:cs="Arial"/>
          <w:b/>
          <w:sz w:val="22"/>
          <w:szCs w:val="22"/>
          <w:lang w:eastAsia="zh-CN"/>
        </w:rPr>
        <w:t>January 17</w:t>
      </w:r>
      <w:r>
        <w:rPr>
          <w:rFonts w:hint="default" w:ascii="Arial" w:hAnsi="Arial" w:eastAsia="宋体" w:cs="Arial"/>
          <w:b/>
          <w:sz w:val="22"/>
          <w:szCs w:val="22"/>
          <w:vertAlign w:val="superscript"/>
          <w:lang w:eastAsia="zh-CN"/>
        </w:rPr>
        <w:t>th</w:t>
      </w:r>
      <w:r>
        <w:rPr>
          <w:rFonts w:hint="default" w:ascii="Arial" w:hAnsi="Arial" w:eastAsia="宋体" w:cs="Arial"/>
          <w:b/>
          <w:sz w:val="22"/>
          <w:szCs w:val="22"/>
          <w:lang w:eastAsia="zh-CN"/>
        </w:rPr>
        <w:t xml:space="preserve"> – 25</w:t>
      </w:r>
      <w:r>
        <w:rPr>
          <w:rFonts w:hint="default" w:ascii="Arial" w:hAnsi="Arial" w:eastAsia="宋体" w:cs="Arial"/>
          <w:b/>
          <w:sz w:val="22"/>
          <w:szCs w:val="22"/>
          <w:vertAlign w:val="superscript"/>
          <w:lang w:eastAsia="zh-CN"/>
        </w:rPr>
        <w:t>th</w:t>
      </w:r>
      <w:r>
        <w:rPr>
          <w:rFonts w:hint="default" w:ascii="Arial" w:hAnsi="Arial" w:eastAsia="宋体" w:cs="Arial"/>
          <w:b/>
          <w:sz w:val="22"/>
          <w:szCs w:val="22"/>
          <w:lang w:eastAsia="zh-CN"/>
        </w:rPr>
        <w:t>, 2022</w:t>
      </w:r>
    </w:p>
    <w:p>
      <w:pPr>
        <w:pStyle w:val="37"/>
        <w:jc w:val="both"/>
      </w:pPr>
    </w:p>
    <w:p>
      <w:pPr>
        <w:tabs>
          <w:tab w:val="left" w:pos="1985"/>
        </w:tabs>
        <w:spacing w:after="0"/>
        <w:rPr>
          <w:rFonts w:ascii="Arial" w:hAnsi="Arial"/>
          <w:b/>
          <w:lang w:eastAsia="zh-CN"/>
        </w:rPr>
      </w:pPr>
      <w:r>
        <w:rPr>
          <w:rFonts w:ascii="Arial" w:hAnsi="Arial"/>
          <w:b/>
        </w:rPr>
        <w:t xml:space="preserve">Source: </w:t>
      </w:r>
      <w:r>
        <w:rPr>
          <w:rFonts w:ascii="Arial" w:hAnsi="Arial"/>
          <w:b/>
        </w:rPr>
        <w:tab/>
      </w:r>
      <w:r>
        <w:rPr>
          <w:rFonts w:hint="eastAsia" w:ascii="Arial" w:hAnsi="Arial"/>
          <w:b/>
        </w:rPr>
        <w:t>ZTE Corporation</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default" w:ascii="Arial" w:hAnsi="Arial" w:cs="Arial"/>
          <w:b/>
          <w:sz w:val="22"/>
          <w:szCs w:val="22"/>
        </w:rPr>
        <w:t>Discussion on remaining issues for TB processing over multi-slot PUSCH</w:t>
      </w:r>
    </w:p>
    <w:p>
      <w:pPr>
        <w:tabs>
          <w:tab w:val="left" w:pos="1985"/>
        </w:tabs>
        <w:spacing w:after="0"/>
        <w:rPr>
          <w:rFonts w:ascii="Arial" w:hAnsi="Arial"/>
          <w:b/>
          <w:lang w:eastAsia="zh-CN"/>
        </w:rPr>
      </w:pPr>
      <w:r>
        <w:rPr>
          <w:rFonts w:ascii="Arial" w:hAnsi="Arial"/>
          <w:b/>
        </w:rPr>
        <w:t>Agenda item:</w:t>
      </w:r>
      <w:r>
        <w:rPr>
          <w:rFonts w:ascii="Arial" w:hAnsi="Arial"/>
          <w:b/>
        </w:rPr>
        <w:tab/>
      </w:r>
      <w:r>
        <w:rPr>
          <w:rFonts w:hint="eastAsia" w:ascii="Arial" w:hAnsi="Arial"/>
          <w:b/>
          <w:lang w:eastAsia="zh-CN"/>
        </w:rPr>
        <w:t>8.8.1.2</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hint="eastAsia" w:ascii="Arial" w:hAnsi="Arial"/>
          <w:b/>
        </w:rPr>
        <w:t>Discussion/Decision</w:t>
      </w:r>
    </w:p>
    <w:p>
      <w:pPr>
        <w:pStyle w:val="2"/>
        <w:textAlignment w:val="auto"/>
      </w:pPr>
      <w:bookmarkStart w:id="2" w:name="_Ref4817"/>
      <w:r>
        <w:t>Introduction</w:t>
      </w:r>
      <w:bookmarkEnd w:id="0"/>
      <w:bookmarkEnd w:id="2"/>
    </w:p>
    <w:p>
      <w:pPr>
        <w:rPr>
          <w:lang w:val="en-GB" w:eastAsia="zh-CN"/>
        </w:rPr>
      </w:pPr>
      <w:r>
        <w:rPr>
          <w:rFonts w:hint="eastAsia"/>
          <w:lang w:val="en-GB" w:eastAsia="zh-CN"/>
        </w:rPr>
        <w:t>In RAN#94-e, the only outstanding critical issue for TBoMS has been resolved by adopting Option C only for rate matching [1]</w:t>
      </w:r>
      <w:r>
        <w:rPr>
          <w:rFonts w:hint="default"/>
          <w:lang w:val="en-US" w:eastAsia="zh-CN"/>
        </w:rPr>
        <w:t>.</w:t>
      </w:r>
      <w:r>
        <w:rPr>
          <w:rFonts w:hint="eastAsia"/>
          <w:lang w:val="en-GB" w:eastAsia="zh-CN"/>
        </w:rPr>
        <w:t xml:space="preserve"> In this contribution, we further analyze some remaining issues for TBoMS.</w:t>
      </w:r>
    </w:p>
    <w:p>
      <w:pPr>
        <w:pStyle w:val="2"/>
        <w:rPr>
          <w:lang w:eastAsia="zh-CN"/>
        </w:rPr>
      </w:pPr>
      <w:r>
        <w:rPr>
          <w:lang w:eastAsia="zh-CN"/>
        </w:rPr>
        <w:t>Discussion</w:t>
      </w:r>
    </w:p>
    <w:p>
      <w:pPr>
        <w:pStyle w:val="3"/>
        <w:bidi w:val="0"/>
        <w:rPr>
          <w:lang w:eastAsia="zh-CN"/>
        </w:rPr>
      </w:pPr>
      <w:r>
        <w:rPr>
          <w:rFonts w:hint="eastAsia"/>
          <w:lang w:eastAsia="zh-CN"/>
        </w:rPr>
        <w:t>RM for TBoMS</w:t>
      </w:r>
    </w:p>
    <w:p>
      <w:pPr>
        <w:rPr>
          <w:rFonts w:hint="default"/>
          <w:lang w:val="en-US" w:eastAsia="zh-CN"/>
        </w:rPr>
      </w:pPr>
      <w:r>
        <w:rPr>
          <w:rFonts w:hint="default"/>
          <w:lang w:val="en-US" w:eastAsia="zh-CN"/>
        </w:rPr>
        <w:t>In RAN#94-e, it was agreed to adopt option C for the rate matching for TBoMS, i.e., the index of the starting coded bit in the circular buffer is the index continuous from the position of the last bit selected in the previous allocated slot, regardless of whether UCI multiplexing occurred in the previous allocated slot or not. The main reason is that it can overcome the error propagation issue due to missing detection of DL DCI corresponding to the HARQ-ACK feedback to be multiplexed in TBoMS PUSCH and many companies believe this is an important issue to be addressed. In RAN1#107-e, the following agreements were reached for HARQ-ACK multiplexed in PUSCH in Rel-15/16 maintenance session of AI 7.1 [2].</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line="280" w:lineRule="atLeast"/>
              <w:jc w:val="both"/>
              <w:rPr>
                <w:rFonts w:hint="eastAsia" w:ascii="Calibri" w:hAnsi="Calibri" w:eastAsia="굴림"/>
                <w:b/>
                <w:bCs/>
                <w:szCs w:val="20"/>
                <w:highlight w:val="green"/>
              </w:rPr>
            </w:pPr>
            <w:r>
              <w:rPr>
                <w:b/>
                <w:bCs/>
                <w:szCs w:val="20"/>
                <w:highlight w:val="green"/>
              </w:rPr>
              <w:t>Agreement</w:t>
            </w:r>
          </w:p>
          <w:p>
            <w:pPr>
              <w:spacing w:before="120" w:line="280" w:lineRule="atLeast"/>
              <w:jc w:val="both"/>
              <w:rPr>
                <w:rFonts w:hint="eastAsia" w:ascii="Calibri" w:hAnsi="Calibri" w:eastAsia="굴림"/>
                <w:b/>
                <w:bCs/>
                <w:szCs w:val="20"/>
                <w:highlight w:val="green"/>
              </w:rPr>
            </w:pPr>
            <w:r>
              <w:rPr>
                <w:rFonts w:cs="Times"/>
              </w:rPr>
              <w:t>For Rel-16 with multiple overlapping PUSCHs with no overlapping PUCCH with HARQ-ACK within a span of one PUCCH slot, if the UL-TDAI n.e. 4 (for Type 2 codebook) or equal to 1 (for Type 1 codebook) there is no consensus in RAN1 on Rel-16 UE behaviour </w:t>
            </w:r>
            <w:r>
              <w:rPr>
                <w:rFonts w:cs="Times"/>
              </w:rPr>
              <w:br w:type="textWrapping"/>
            </w:r>
            <w:r>
              <w:rPr>
                <w:rFonts w:cs="Times"/>
              </w:rPr>
              <w:t> </w:t>
            </w:r>
            <w:r>
              <w:rPr>
                <w:rFonts w:cs="Times"/>
              </w:rPr>
              <w:br w:type="textWrapping"/>
            </w:r>
            <w:r>
              <w:rPr>
                <w:b/>
                <w:bCs/>
                <w:szCs w:val="20"/>
                <w:highlight w:val="green"/>
              </w:rPr>
              <w:t>Agreement</w:t>
            </w:r>
          </w:p>
          <w:p>
            <w:pPr>
              <w:spacing w:before="120" w:line="280" w:lineRule="atLeast"/>
              <w:rPr>
                <w:rFonts w:hint="default"/>
                <w:vertAlign w:val="baseline"/>
                <w:lang w:val="en-US" w:eastAsia="zh-CN"/>
              </w:rPr>
            </w:pPr>
            <w:r>
              <w:rPr>
                <w:rFonts w:cs="Times"/>
              </w:rPr>
              <w:t>For Rel-16 with one PUSCH and no overlapping PUCCH with HARQ-ACK within a span of one PUCCH slot (both single carrier and UL CA), if the UL-TDAI is not equal to 4 (for Type 2 codebook) or equal to 1 (for Type 1 codebook), the UE multiplexes HARQ-ACK following the UL-TDAI into the PUSCH.</w:t>
            </w:r>
          </w:p>
        </w:tc>
      </w:tr>
    </w:tbl>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lang w:val="en-US" w:eastAsia="zh-CN"/>
        </w:rPr>
      </w:pPr>
      <w:r>
        <w:rPr>
          <w:rFonts w:hint="default"/>
          <w:lang w:val="en-US" w:eastAsia="zh-CN"/>
        </w:rPr>
        <w:t>It means that the UE should perform UCI multiplexing anyway by following the T-DAI in UL grant when the T-DAI in UL grant is not equal to 4 for Type 2 codebook or is equal to 1 for Type 1 codebook. We believe this principle should also be applied to TBoMS PUSCH.</w:t>
      </w:r>
    </w:p>
    <w:p>
      <w:pPr>
        <w:rPr>
          <w:rFonts w:hint="default"/>
          <w:i/>
          <w:iCs/>
          <w:lang w:val="en-US" w:eastAsia="zh-CN"/>
        </w:rPr>
      </w:pPr>
      <w:r>
        <w:rPr>
          <w:rFonts w:hint="default"/>
          <w:b/>
          <w:bCs/>
          <w:i/>
          <w:iCs/>
          <w:lang w:val="en-US" w:eastAsia="zh-CN"/>
        </w:rPr>
        <w:t>Proposal 1:</w:t>
      </w:r>
      <w:r>
        <w:rPr>
          <w:rFonts w:hint="default"/>
          <w:i/>
          <w:iCs/>
          <w:lang w:val="en-US" w:eastAsia="zh-CN"/>
        </w:rPr>
        <w:t xml:space="preserve"> For single TBoMS transmission and no overlapping PUCCH with HARQ-ACK within a span of one PUCCH slot, if T-DAI in UL grant is not equal to 4 for Type 2 codebook or is equal to 1 for Type 1 codebook, the UE should multiplex HARQ-ACK in the PUSCH following the T-DAI in UL grant.</w:t>
      </w:r>
    </w:p>
    <w:p>
      <w:pPr>
        <w:rPr>
          <w:rFonts w:hint="default"/>
          <w:lang w:val="en-US" w:eastAsia="zh-CN"/>
        </w:rPr>
      </w:pPr>
      <w:r>
        <w:rPr>
          <w:rFonts w:hint="default"/>
          <w:lang w:val="en-US" w:eastAsia="zh-CN"/>
        </w:rPr>
        <w:t>For TBoMS, PUSCH is transmitted over multiple slots. The PUCCH with HARQ-ACK may overlap with any one of the multiple slots. If the UE misses the DL DCI, it would not know where is the PUCCH slot and in which slot the PUSCH overlaps with the PUCCH for HARQ-ACK. Therefore, the UE does not know the slot that the HARQ-ACK should be multiplexed in. For example, as shown in Figure 1 below, if the UE misses the DL grant, it does not know the HARQ-ACK should be multiplexed in PUSCH in slot#1 or PUSCH in slot#2. This issue should be resolved.</w:t>
      </w:r>
    </w:p>
    <w:p>
      <w:pPr>
        <w:jc w:val="center"/>
      </w:pPr>
      <w:r>
        <w:object>
          <v:shape id="_x0000_i1025" o:spt="75" type="#_x0000_t75" style="height:146.3pt;width:426.15pt;" o:ole="t" filled="f" o:preferrelative="t" stroked="f" coordsize="21600,21600">
            <v:path/>
            <v:fill on="f" focussize="0,0"/>
            <v:stroke on="f"/>
            <v:imagedata r:id="rId8" o:title=""/>
            <o:lock v:ext="edit" aspectratio="t"/>
            <w10:wrap type="none"/>
            <w10:anchorlock/>
          </v:shape>
          <o:OLEObject Type="Embed" ProgID="Visio.Drawing.11" ShapeID="_x0000_i1025" DrawAspect="Content" ObjectID="_1468075725" r:id="rId7">
            <o:LockedField>false</o:LockedField>
          </o:OLEObject>
        </w:object>
      </w:r>
    </w:p>
    <w:p>
      <w:pPr>
        <w:jc w:val="center"/>
        <w:rPr>
          <w:rFonts w:hint="default"/>
          <w:lang w:val="en-US" w:eastAsia="zh-CN"/>
        </w:rPr>
      </w:pPr>
      <w:r>
        <w:rPr>
          <w:rFonts w:hint="default"/>
          <w:lang w:val="en-US" w:eastAsia="zh-CN"/>
        </w:rPr>
        <w:t>Figure 1 An example of PUCCH overlapping with PUSCHs for TBoMS</w:t>
      </w:r>
    </w:p>
    <w:p>
      <w:pPr>
        <w:rPr>
          <w:rFonts w:hint="default"/>
          <w:lang w:val="en-US" w:eastAsia="zh-CN"/>
        </w:rPr>
      </w:pPr>
      <w:r>
        <w:rPr>
          <w:rFonts w:hint="default"/>
          <w:lang w:val="en-US" w:eastAsia="zh-CN"/>
        </w:rPr>
        <w:t>To address this issue, a straightforward way is to specify a slot for HARQ-ACK multiplexing. For example, the first slot or the last slot of the TBoMS transmission is specified for HARQ-ACK multiplexing when the UE does not detect any DL DCI and the T-DAI in the UL grant is not equal to 4 for Type 2 codebook or is equal to 1 for Type 1 codebook. In this case, the network should schedule the PUCCH for HARQ-ACK overlapping with the specified slot to align the understanding between the UE and the network</w:t>
      </w:r>
      <w:r>
        <w:rPr>
          <w:rFonts w:hint="eastAsia"/>
          <w:lang w:val="en-US" w:eastAsia="zh-CN"/>
        </w:rPr>
        <w:t xml:space="preserve"> or network need to bear blind decoding otherwise</w:t>
      </w:r>
      <w:r>
        <w:rPr>
          <w:rFonts w:hint="default"/>
          <w:lang w:val="en-US" w:eastAsia="zh-CN"/>
        </w:rPr>
        <w:t xml:space="preserve">. </w:t>
      </w:r>
    </w:p>
    <w:p>
      <w:pPr>
        <w:rPr>
          <w:rFonts w:hint="default"/>
          <w:i/>
          <w:iCs/>
          <w:lang w:val="en-US" w:eastAsia="zh-CN"/>
        </w:rPr>
      </w:pPr>
      <w:r>
        <w:rPr>
          <w:rFonts w:hint="default"/>
          <w:b/>
          <w:bCs/>
          <w:i/>
          <w:iCs/>
          <w:lang w:val="en-US" w:eastAsia="zh-CN"/>
        </w:rPr>
        <w:t>Proposal 2:</w:t>
      </w:r>
      <w:r>
        <w:rPr>
          <w:rFonts w:hint="default"/>
          <w:i/>
          <w:iCs/>
          <w:lang w:val="en-US" w:eastAsia="zh-CN"/>
        </w:rPr>
        <w:t xml:space="preserve"> One of the slot for TBoMS transmission should be specified for HARQ-ACK multiplexing if the UE does not know the PUCCH slot due to missing detection of the DL DCI and the T-DAI in the UL grant is not equal to 4 for Type 2 codebook or is equal to 1 for Type 1 codebook.</w:t>
      </w:r>
    </w:p>
    <w:p>
      <w:pPr>
        <w:rPr>
          <w:rFonts w:hint="default"/>
          <w:lang w:val="en-US" w:eastAsia="zh-CN"/>
        </w:rPr>
      </w:pPr>
      <w:r>
        <w:rPr>
          <w:rFonts w:hint="default"/>
          <w:lang w:val="en-US" w:eastAsia="zh-CN"/>
        </w:rPr>
        <w:t>It was agreed that the UE drops the PUSCH in a slot for the TBoMS transmission according to the Rel-15/16 PUSCH dropping rules and the dropped slot is still counted in the N allocated slots for the single TBoMS transmission. To follow the principle of the agreed Option C, if one of the PUSCH is dropped, the rate matching should not be affected. That is to say the coded bits that originally map to a dropped PUSCH for the TBoMS transmission should be skipped for the rate matching for TBoMS.</w:t>
      </w:r>
    </w:p>
    <w:p>
      <w:pPr>
        <w:rPr>
          <w:rFonts w:hint="default"/>
          <w:i/>
          <w:iCs/>
          <w:lang w:val="en-US" w:eastAsia="zh-CN"/>
        </w:rPr>
      </w:pPr>
      <w:r>
        <w:rPr>
          <w:rFonts w:hint="default"/>
          <w:b/>
          <w:bCs/>
          <w:i/>
          <w:iCs/>
          <w:lang w:val="en-US" w:eastAsia="zh-CN"/>
        </w:rPr>
        <w:t>Proposal 3:</w:t>
      </w:r>
      <w:r>
        <w:rPr>
          <w:rFonts w:hint="default"/>
          <w:i/>
          <w:iCs/>
          <w:lang w:val="en-US" w:eastAsia="zh-CN"/>
        </w:rPr>
        <w:t xml:space="preserve"> The coded bits that originally map to a dropped slot for the TBoMS transmission should be skipped for the rate matching for TBoMS.</w:t>
      </w:r>
    </w:p>
    <w:p>
      <w:pPr>
        <w:pStyle w:val="3"/>
        <w:bidi w:val="0"/>
        <w:rPr>
          <w:rFonts w:hint="default"/>
          <w:lang w:val="en-US" w:eastAsia="zh-CN"/>
        </w:rPr>
      </w:pPr>
      <w:r>
        <w:rPr>
          <w:rFonts w:hint="default"/>
          <w:lang w:val="en-US" w:eastAsia="zh-CN"/>
        </w:rPr>
        <w:t>Data rate computation</w:t>
      </w:r>
    </w:p>
    <w:p>
      <w:pPr>
        <w:rPr>
          <w:rFonts w:hint="default"/>
          <w:lang w:val="en-US" w:eastAsia="zh-CN"/>
        </w:rPr>
      </w:pPr>
      <w:r>
        <w:rPr>
          <w:rFonts w:hint="default"/>
          <w:lang w:val="en-US" w:eastAsia="zh-CN"/>
        </w:rPr>
        <w:t>In current specification, the data rate limitation is specified as below[3].</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lang w:eastAsia="zh-CN"/>
              </w:rPr>
            </w:pPr>
            <w:r>
              <w:rPr>
                <w:lang w:eastAsia="zh-CN"/>
              </w:rPr>
              <w:t xml:space="preserve">For a </w:t>
            </w:r>
            <w:r>
              <w:rPr>
                <w:i/>
                <w:lang w:eastAsia="zh-CN"/>
              </w:rPr>
              <w:t>j</w:t>
            </w:r>
            <w:r>
              <w:rPr>
                <w:lang w:eastAsia="zh-CN"/>
              </w:rPr>
              <w:t xml:space="preserve">-th serving cell, </w:t>
            </w:r>
            <w:r>
              <w:rPr>
                <w:lang w:eastAsia="ko-KR"/>
              </w:rPr>
              <w:t xml:space="preserve">if </w:t>
            </w:r>
            <w:r>
              <w:rPr>
                <w:color w:val="000000" w:themeColor="text1"/>
                <w:lang w:eastAsia="ko-KR"/>
                <w14:textFill>
                  <w14:solidFill>
                    <w14:schemeClr w14:val="tx1"/>
                  </w14:solidFill>
                </w14:textFill>
              </w:rPr>
              <w:t xml:space="preserve">higher layer parameter </w:t>
            </w:r>
            <w:r>
              <w:rPr>
                <w:i/>
                <w:color w:val="000000" w:themeColor="text1"/>
                <w:lang w:eastAsia="ko-KR"/>
                <w14:textFill>
                  <w14:solidFill>
                    <w14:schemeClr w14:val="tx1"/>
                  </w14:solidFill>
                </w14:textFill>
              </w:rPr>
              <w:t>processingType2Enabled</w:t>
            </w:r>
            <w:r>
              <w:rPr>
                <w:color w:val="000000" w:themeColor="text1"/>
                <w:lang w:eastAsia="ko-KR"/>
                <w14:textFill>
                  <w14:solidFill>
                    <w14:schemeClr w14:val="tx1"/>
                  </w14:solidFill>
                </w14:textFill>
              </w:rPr>
              <w:t xml:space="preserve"> of </w:t>
            </w:r>
            <w:r>
              <w:rPr>
                <w:i/>
                <w:color w:val="000000" w:themeColor="text1"/>
                <w:lang w:eastAsia="ko-KR"/>
                <w14:textFill>
                  <w14:solidFill>
                    <w14:schemeClr w14:val="tx1"/>
                  </w14:solidFill>
                </w14:textFill>
              </w:rPr>
              <w:t>PUSCH-ServingCellConfig</w:t>
            </w:r>
            <w:r>
              <w:rPr>
                <w:color w:val="000000" w:themeColor="text1"/>
                <w:lang w:eastAsia="ko-KR"/>
                <w14:textFill>
                  <w14:solidFill>
                    <w14:schemeClr w14:val="tx1"/>
                  </w14:solidFill>
                </w14:textFill>
              </w:rPr>
              <w:t xml:space="preserve"> is configured</w:t>
            </w:r>
            <w:r>
              <w:rPr>
                <w:lang w:eastAsia="ko-KR"/>
              </w:rPr>
              <w:t xml:space="preserve"> for the serving cell </w:t>
            </w:r>
            <w:r>
              <w:rPr>
                <w:color w:val="000000" w:themeColor="text1"/>
                <w:lang w:eastAsia="ko-KR"/>
                <w14:textFill>
                  <w14:solidFill>
                    <w14:schemeClr w14:val="tx1"/>
                  </w14:solidFill>
                </w14:textFill>
              </w:rPr>
              <w:t>and set to '</w:t>
            </w:r>
            <w:r>
              <w:rPr>
                <w:iCs/>
                <w:color w:val="000000" w:themeColor="text1"/>
                <w:lang w:eastAsia="ko-KR"/>
                <w14:textFill>
                  <w14:solidFill>
                    <w14:schemeClr w14:val="tx1"/>
                  </w14:solidFill>
                </w14:textFill>
              </w:rPr>
              <w:t>enable'</w:t>
            </w:r>
            <w:r>
              <w:rPr>
                <w:i/>
                <w:color w:val="000000" w:themeColor="text1"/>
                <w:lang w:eastAsia="ko-KR"/>
                <w14:textFill>
                  <w14:solidFill>
                    <w14:schemeClr w14:val="tx1"/>
                  </w14:solidFill>
                </w14:textFill>
              </w:rPr>
              <w:t>,</w:t>
            </w:r>
            <w:r>
              <w:rPr>
                <w:color w:val="000000" w:themeColor="text1"/>
                <w:lang w:eastAsia="ko-KR"/>
                <w14:textFill>
                  <w14:solidFill>
                    <w14:schemeClr w14:val="tx1"/>
                  </w14:solidFill>
                </w14:textFill>
              </w:rPr>
              <w:t xml:space="preserve"> </w:t>
            </w:r>
            <w:r>
              <w:rPr>
                <w:lang w:eastAsia="ko-KR"/>
              </w:rPr>
              <w:t xml:space="preserve">or </w:t>
            </w:r>
            <w:r>
              <w:rPr>
                <w:lang w:eastAsia="zh-CN"/>
              </w:rPr>
              <w:t xml:space="preserve">if at least one </w:t>
            </w:r>
            <w:r>
              <w:rPr>
                <w:i/>
                <w:lang w:eastAsia="zh-CN"/>
              </w:rPr>
              <w:t>I</w:t>
            </w:r>
            <w:r>
              <w:rPr>
                <w:i/>
                <w:vertAlign w:val="subscript"/>
                <w:lang w:eastAsia="zh-CN"/>
              </w:rPr>
              <w:t>MCS</w:t>
            </w:r>
            <w:r>
              <w:rPr>
                <w:i/>
                <w:lang w:eastAsia="zh-CN"/>
              </w:rPr>
              <w:t xml:space="preserve"> &gt; W</w:t>
            </w:r>
            <w:r>
              <w:rPr>
                <w:lang w:eastAsia="zh-CN"/>
              </w:rPr>
              <w:t xml:space="preserve"> for</w:t>
            </w:r>
            <w:r>
              <w:rPr>
                <w:u w:val="single"/>
                <w:lang w:eastAsia="zh-CN"/>
              </w:rPr>
              <w:t xml:space="preserve"> </w:t>
            </w:r>
            <w:r>
              <w:rPr>
                <w:lang w:eastAsia="zh-CN"/>
              </w:rPr>
              <w:t xml:space="preserve">a PUSCH, where </w:t>
            </w:r>
            <w:r>
              <w:rPr>
                <w:i/>
                <w:lang w:eastAsia="zh-CN"/>
              </w:rPr>
              <w:t>W</w:t>
            </w:r>
            <w:r>
              <w:rPr>
                <w:lang w:eastAsia="zh-CN"/>
              </w:rPr>
              <w:t xml:space="preserve"> = 28 for MCS tables 5.1.3.1-1 and 5.1.3.1-3, and </w:t>
            </w:r>
            <w:r>
              <w:rPr>
                <w:i/>
                <w:lang w:eastAsia="zh-CN"/>
              </w:rPr>
              <w:t>W</w:t>
            </w:r>
            <w:r>
              <w:rPr>
                <w:lang w:eastAsia="zh-CN"/>
              </w:rPr>
              <w:t xml:space="preserve"> = 27 for MCS tables 5.1.3.1-2, 6.1.4.1-1, and 6.1.4.1-2,</w:t>
            </w:r>
            <w:r>
              <w:t xml:space="preserve"> or if it is an actual repetition for PUSCH repetition Type B, </w:t>
            </w:r>
            <w:r>
              <w:rPr>
                <w:lang w:eastAsia="zh-CN"/>
              </w:rPr>
              <w:t>the UE is not required to handle PUSCH transmissions, if the following condition is not satisfied:</w:t>
            </w:r>
          </w:p>
          <w:p>
            <w:pPr>
              <w:pStyle w:val="74"/>
              <w:spacing w:before="120" w:line="280" w:lineRule="atLeast"/>
              <w:rPr>
                <w:lang w:val="sv-SE"/>
              </w:rPr>
            </w:pPr>
            <m:oMathPara>
              <m:oMathParaPr>
                <m:jc m:val="centerGroup"/>
              </m:oMathParaPr>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ctrlPr>
                          <w:rPr>
                            <w:rFonts w:ascii="Cambria Math" w:hAnsi="Cambria Math"/>
                            <w:lang w:eastAsia="ko-KR"/>
                          </w:rPr>
                        </m:ctrlPr>
                      </m:sub>
                      <m:sup>
                        <m:r>
                          <w:rPr>
                            <w:rFonts w:ascii="Cambria Math" w:hAnsi="Cambria Math"/>
                            <w:lang w:eastAsia="ko-KR"/>
                          </w:rPr>
                          <m:t>M</m:t>
                        </m:r>
                        <m:r>
                          <m:rPr>
                            <m:sty m:val="p"/>
                          </m:rPr>
                          <w:rPr>
                            <w:rFonts w:ascii="Cambria Math" w:hAnsi="Cambria Math"/>
                            <w:lang w:eastAsia="ko-KR"/>
                          </w:rPr>
                          <m:t>-1</m:t>
                        </m:r>
                        <m:ctrlPr>
                          <w:rPr>
                            <w:rFonts w:ascii="Cambria Math" w:hAnsi="Cambria Math"/>
                            <w:lang w:eastAsia="ko-KR"/>
                          </w:rPr>
                        </m:ctrlPr>
                      </m:sup>
                      <m:e>
                        <m:sSub>
                          <m:sSubPr>
                            <m:ctrlPr>
                              <w:rPr>
                                <w:rFonts w:ascii="Cambria Math" w:hAnsi="Cambria Math"/>
                                <w:lang w:eastAsia="ko-KR"/>
                              </w:rPr>
                            </m:ctrlPr>
                          </m:sSubPr>
                          <m:e>
                            <m:r>
                              <w:rPr>
                                <w:rFonts w:ascii="Cambria Math" w:hAnsi="Cambria Math"/>
                                <w:lang w:eastAsia="ko-KR"/>
                              </w:rPr>
                              <m:t>V</m:t>
                            </m:r>
                            <m:ctrlPr>
                              <w:rPr>
                                <w:rFonts w:ascii="Cambria Math" w:hAnsi="Cambria Math"/>
                                <w:lang w:eastAsia="ko-KR"/>
                              </w:rPr>
                            </m:ctrlP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ctrlPr>
                              <w:rPr>
                                <w:rFonts w:ascii="Cambria Math" w:hAnsi="Cambria Math"/>
                                <w:lang w:eastAsia="ko-KR"/>
                              </w:rPr>
                            </m:ctrlPr>
                          </m:sub>
                        </m:sSub>
                        <m:ctrlPr>
                          <w:rPr>
                            <w:rFonts w:ascii="Cambria Math" w:hAnsi="Cambria Math"/>
                            <w:lang w:eastAsia="ko-KR"/>
                          </w:rPr>
                        </m:ctrlPr>
                      </m:e>
                    </m:nary>
                    <m:ctrlPr>
                      <w:rPr>
                        <w:rFonts w:ascii="Cambria Math" w:hAnsi="Cambria Math"/>
                        <w:lang w:eastAsia="ko-KR"/>
                      </w:rPr>
                    </m:ctrlPr>
                  </m:num>
                  <m:den>
                    <m:r>
                      <w:rPr>
                        <w:rFonts w:ascii="Cambria Math" w:hAnsi="Cambria Math"/>
                      </w:rPr>
                      <m:t>L</m:t>
                    </m:r>
                    <m:r>
                      <m:rPr>
                        <m:sty m:val="p"/>
                      </m:rPr>
                      <w:rPr>
                        <w:rFonts w:ascii="Cambria Math" w:hAnsi="Cambria Math"/>
                      </w:rPr>
                      <m:t>×</m:t>
                    </m:r>
                    <m:sSubSup>
                      <m:sSubSupPr>
                        <m:ctrlPr>
                          <w:rPr>
                            <w:rFonts w:ascii="Cambria Math" w:hAnsi="Cambria Math"/>
                            <w:iCs/>
                          </w:rPr>
                        </m:ctrlPr>
                      </m:sSubSupPr>
                      <m:e>
                        <m:r>
                          <w:rPr>
                            <w:rFonts w:ascii="Cambria Math" w:hAnsi="Cambria Math"/>
                          </w:rPr>
                          <m:t>T</m:t>
                        </m:r>
                        <m:ctrlPr>
                          <w:rPr>
                            <w:rFonts w:ascii="Cambria Math" w:hAnsi="Cambria Math"/>
                            <w:iCs/>
                          </w:rPr>
                        </m:ctrlPr>
                      </m:e>
                      <m:sub>
                        <m:r>
                          <w:rPr>
                            <w:rFonts w:ascii="Cambria Math" w:hAnsi="Cambria Math"/>
                          </w:rPr>
                          <m:t>s</m:t>
                        </m:r>
                        <m:ctrlPr>
                          <w:rPr>
                            <w:rFonts w:ascii="Cambria Math" w:hAnsi="Cambria Math"/>
                            <w:iCs/>
                          </w:rPr>
                        </m:ctrlPr>
                      </m:sub>
                      <m:sup>
                        <m:r>
                          <w:rPr>
                            <w:rFonts w:ascii="Cambria Math" w:hAnsi="Cambria Math"/>
                          </w:rPr>
                          <m:t>μ</m:t>
                        </m:r>
                        <m:ctrlPr>
                          <w:rPr>
                            <w:rFonts w:ascii="Cambria Math" w:hAnsi="Cambria Math"/>
                            <w:iCs/>
                          </w:rPr>
                        </m:ctrlPr>
                      </m:sup>
                    </m:sSubSup>
                    <m:ctrlPr>
                      <w:rPr>
                        <w:rFonts w:ascii="Cambria Math" w:hAnsi="Cambria Math"/>
                        <w:lang w:eastAsia="ko-KR"/>
                      </w:rPr>
                    </m:ctrlPr>
                  </m:den>
                </m:f>
                <m:r>
                  <m:rPr>
                    <m:sty m:val="p"/>
                  </m:rPr>
                  <w:rPr>
                    <w:rFonts w:ascii="Cambria Math" w:hAnsi="Cambria Math"/>
                  </w:rPr>
                  <m:t>≤</m:t>
                </m:r>
                <m:r>
                  <w:rPr>
                    <w:rFonts w:ascii="Cambria Math" w:hAnsi="Cambria Math"/>
                  </w:rPr>
                  <m:t>DataRateCC</m:t>
                </m:r>
              </m:oMath>
            </m:oMathPara>
          </w:p>
          <w:p>
            <w:pPr>
              <w:spacing w:before="120" w:line="280" w:lineRule="atLeast"/>
              <w:rPr>
                <w:iCs/>
                <w:color w:val="000000" w:themeColor="text1"/>
                <w14:textFill>
                  <w14:solidFill>
                    <w14:schemeClr w14:val="tx1"/>
                  </w14:solidFill>
                </w14:textFill>
              </w:rPr>
            </w:pPr>
            <w:r>
              <w:rPr>
                <w:iCs/>
                <w:color w:val="000000" w:themeColor="text1"/>
                <w:lang w:eastAsia="ko-KR"/>
                <w14:textFill>
                  <w14:solidFill>
                    <w14:schemeClr w14:val="tx1"/>
                  </w14:solidFill>
                </w14:textFill>
              </w:rPr>
              <w:t>w</w:t>
            </w:r>
            <w:r>
              <w:rPr>
                <w:iCs/>
                <w:color w:val="000000" w:themeColor="text1"/>
                <w14:textFill>
                  <w14:solidFill>
                    <w14:schemeClr w14:val="tx1"/>
                  </w14:solidFill>
                </w14:textFill>
              </w:rPr>
              <w:t>here</w:t>
            </w:r>
          </w:p>
          <w:p>
            <w:pPr>
              <w:pStyle w:val="87"/>
              <w:spacing w:before="120" w:line="280" w:lineRule="atLeast"/>
            </w:pPr>
            <w:r>
              <w:t>-</w:t>
            </w:r>
            <w:r>
              <w:tab/>
            </w:r>
            <m:oMath>
              <m:r>
                <w:rPr>
                  <w:rFonts w:ascii="Cambria Math" w:hAnsi="Cambria Math"/>
                </w:rPr>
                <m:t xml:space="preserve">L </m:t>
              </m:r>
            </m:oMath>
            <w:r>
              <w:t>is the number of symbols assigned to the PUSCH</w:t>
            </w:r>
          </w:p>
          <w:p>
            <w:pPr>
              <w:pStyle w:val="87"/>
              <w:spacing w:before="120" w:line="280" w:lineRule="atLeast"/>
            </w:pPr>
            <w:r>
              <w:t>-</w:t>
            </w:r>
            <w:r>
              <w:tab/>
            </w:r>
            <w:r>
              <w:rPr>
                <w:rFonts w:hint="eastAsia"/>
                <w:i/>
                <w:lang w:eastAsia="ko-KR"/>
              </w:rPr>
              <w:t>M</w:t>
            </w:r>
            <w:r>
              <w:rPr>
                <w:rFonts w:hint="eastAsia"/>
                <w:lang w:eastAsia="ko-KR"/>
              </w:rPr>
              <w:t xml:space="preserve"> is the number of TB </w:t>
            </w:r>
            <w:r>
              <w:rPr>
                <w:lang w:eastAsia="ko-KR"/>
              </w:rPr>
              <w:t>in the PUSCH</w:t>
            </w:r>
          </w:p>
          <w:p>
            <w:pPr>
              <w:pStyle w:val="87"/>
              <w:spacing w:before="120" w:line="280" w:lineRule="atLeast"/>
            </w:pPr>
            <w:r>
              <w:t>-</w:t>
            </w:r>
            <w:r>
              <w:tab/>
            </w:r>
            <m:oMath>
              <m:sSubSup>
                <m:sSubSupPr>
                  <m:ctrlPr>
                    <w:rPr>
                      <w:rFonts w:ascii="Cambria Math" w:hAnsi="Cambria Math"/>
                      <w:i/>
                    </w:rPr>
                  </m:ctrlPr>
                </m:sSubSupPr>
                <m:e>
                  <m:r>
                    <w:rPr>
                      <w:rFonts w:ascii="Cambria Math" w:hAnsi="Cambria Math"/>
                    </w:rPr>
                    <m:t>T</m:t>
                  </m:r>
                  <m:ctrlPr>
                    <w:rPr>
                      <w:rFonts w:ascii="Cambria Math" w:hAnsi="Cambria Math"/>
                      <w:i/>
                    </w:rPr>
                  </m:ctrlPr>
                </m:e>
                <m:sub>
                  <m:r>
                    <w:rPr>
                      <w:rFonts w:ascii="Cambria Math" w:hAnsi="Cambria Math"/>
                    </w:rPr>
                    <m:t>s</m:t>
                  </m:r>
                  <m:ctrlPr>
                    <w:rPr>
                      <w:rFonts w:ascii="Cambria Math" w:hAnsi="Cambria Math"/>
                      <w:i/>
                    </w:rPr>
                  </m:ctrlPr>
                </m:sub>
                <m:sup>
                  <m:r>
                    <w:rPr>
                      <w:rFonts w:ascii="Cambria Math" w:hAnsi="Cambria Math"/>
                    </w:rPr>
                    <m:t>μ</m:t>
                  </m:r>
                  <m:ctrlPr>
                    <w:rPr>
                      <w:rFonts w:ascii="Cambria Math" w:hAnsi="Cambria Math"/>
                      <w:i/>
                    </w:rPr>
                  </m:ctrlP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ctrlPr>
                        <w:rPr>
                          <w:rFonts w:ascii="Cambria Math" w:hAnsi="Cambria Math"/>
                          <w:i/>
                        </w:rPr>
                      </m:ctrlPr>
                    </m:e>
                    <m:sup>
                      <m:r>
                        <w:rPr>
                          <w:rFonts w:ascii="Cambria Math" w:hAnsi="Cambria Math"/>
                        </w:rPr>
                        <m:t>-3</m:t>
                      </m:r>
                      <m:ctrlPr>
                        <w:rPr>
                          <w:rFonts w:ascii="Cambria Math" w:hAnsi="Cambria Math"/>
                          <w:i/>
                        </w:rPr>
                      </m:ctrlPr>
                    </m:sup>
                  </m:sSup>
                  <m:ctrlPr>
                    <w:rPr>
                      <w:rFonts w:ascii="Cambria Math" w:hAnsi="Cambria Math"/>
                      <w:i/>
                    </w:rPr>
                  </m:ctrlPr>
                </m:num>
                <m:den>
                  <m:sSubSup>
                    <m:sSubSupPr>
                      <m:ctrlPr>
                        <w:rPr>
                          <w:rFonts w:ascii="Cambria Math" w:hAnsi="Cambria Math"/>
                          <w:i/>
                        </w:rPr>
                      </m:ctrlPr>
                    </m:sSubSupPr>
                    <m:e>
                      <m:sSup>
                        <m:sSupPr>
                          <m:ctrlPr>
                            <w:rPr>
                              <w:rFonts w:ascii="Cambria Math" w:hAnsi="Cambria Math"/>
                              <w:i/>
                            </w:rPr>
                          </m:ctrlPr>
                        </m:sSupPr>
                        <m:e>
                          <m:r>
                            <w:rPr>
                              <w:rFonts w:ascii="Cambria Math" w:hAnsi="Cambria Math"/>
                            </w:rPr>
                            <m:t>2</m:t>
                          </m:r>
                          <m:ctrlPr>
                            <w:rPr>
                              <w:rFonts w:ascii="Cambria Math" w:hAnsi="Cambria Math"/>
                              <w:i/>
                            </w:rPr>
                          </m:ctrlPr>
                        </m:e>
                        <m:sup>
                          <m:r>
                            <w:rPr>
                              <w:rFonts w:ascii="Cambria Math" w:hAnsi="Cambria Math"/>
                            </w:rPr>
                            <m:t>μ</m:t>
                          </m:r>
                          <m:ctrlPr>
                            <w:rPr>
                              <w:rFonts w:ascii="Cambria Math" w:hAnsi="Cambria Math"/>
                              <w:i/>
                            </w:rPr>
                          </m:ctrlPr>
                        </m:sup>
                      </m:sSup>
                      <m:r>
                        <w:rPr>
                          <w:rFonts w:ascii="Cambria Math" w:hAnsi="Cambria Math"/>
                        </w:rPr>
                        <m:t>∙N</m:t>
                      </m:r>
                      <m:ctrlPr>
                        <w:rPr>
                          <w:rFonts w:ascii="Cambria Math" w:hAnsi="Cambria Math"/>
                          <w:i/>
                        </w:rPr>
                      </m:ctrlPr>
                    </m:e>
                    <m:sub>
                      <m:r>
                        <w:rPr>
                          <w:rFonts w:ascii="Cambria Math" w:hAnsi="Cambria Math"/>
                        </w:rPr>
                        <m:t>symb</m:t>
                      </m:r>
                      <m:ctrlPr>
                        <w:rPr>
                          <w:rFonts w:ascii="Cambria Math" w:hAnsi="Cambria Math"/>
                          <w:i/>
                        </w:rPr>
                      </m:ctrlPr>
                    </m:sub>
                    <m:sup>
                      <m:r>
                        <w:rPr>
                          <w:rFonts w:ascii="Cambria Math" w:hAnsi="Cambria Math"/>
                        </w:rPr>
                        <m:t>slot</m:t>
                      </m:r>
                      <m:ctrlPr>
                        <w:rPr>
                          <w:rFonts w:ascii="Cambria Math" w:hAnsi="Cambria Math"/>
                          <w:i/>
                        </w:rPr>
                      </m:ctrlPr>
                    </m:sup>
                  </m:sSubSup>
                  <m:ctrlPr>
                    <w:rPr>
                      <w:rFonts w:ascii="Cambria Math" w:hAnsi="Cambria Math"/>
                      <w:i/>
                    </w:rPr>
                  </m:ctrlPr>
                </m:den>
              </m:f>
            </m:oMath>
            <w:r>
              <w:t xml:space="preserve"> where </w:t>
            </w:r>
            <w:r>
              <w:rPr/>
              <w:sym w:font="Symbol" w:char="F06D"/>
            </w:r>
            <w:r>
              <w:t xml:space="preserve"> is the numerology of the PUSCH </w:t>
            </w:r>
          </w:p>
          <w:p>
            <w:pPr>
              <w:pStyle w:val="87"/>
              <w:spacing w:before="120" w:line="280" w:lineRule="atLeast"/>
            </w:pPr>
            <w:r>
              <w:t>-</w:t>
            </w:r>
            <w:r>
              <w:tab/>
            </w:r>
            <w:r>
              <w:rPr>
                <w:lang w:eastAsia="ko-KR"/>
              </w:rPr>
              <w:t xml:space="preserve">for the </w:t>
            </w:r>
            <w:r>
              <w:rPr>
                <w:i/>
                <w:lang w:eastAsia="ko-KR"/>
              </w:rPr>
              <w:t>m</w:t>
            </w:r>
            <w:r>
              <w:t xml:space="preserve">-th TB, </w:t>
            </w:r>
            <m:oMath>
              <m:sSub>
                <m:sSubPr>
                  <m:ctrlPr>
                    <w:rPr>
                      <w:rFonts w:ascii="Cambria Math" w:hAnsi="Cambria Math"/>
                      <w:i/>
                      <w:lang w:eastAsia="ko-KR"/>
                    </w:rPr>
                  </m:ctrlPr>
                </m:sSubPr>
                <m:e>
                  <m:r>
                    <w:rPr>
                      <w:rFonts w:ascii="Cambria Math" w:hAnsi="Cambria Math"/>
                      <w:lang w:eastAsia="ko-KR"/>
                    </w:rPr>
                    <m:t>V</m:t>
                  </m:r>
                  <m:ctrlPr>
                    <w:rPr>
                      <w:rFonts w:ascii="Cambria Math" w:hAnsi="Cambria Math"/>
                      <w:i/>
                      <w:lang w:eastAsia="ko-KR"/>
                    </w:rPr>
                  </m:ctrlPr>
                </m:e>
                <m:sub>
                  <m:r>
                    <w:rPr>
                      <w:rFonts w:ascii="Cambria Math" w:hAnsi="Cambria Math"/>
                      <w:lang w:eastAsia="ko-KR"/>
                    </w:rPr>
                    <m:t>j,m</m:t>
                  </m:r>
                  <m:ctrlPr>
                    <w:rPr>
                      <w:rFonts w:ascii="Cambria Math" w:hAnsi="Cambria Math"/>
                      <w:i/>
                      <w:lang w:eastAsia="ko-KR"/>
                    </w:rPr>
                  </m:ctrlPr>
                </m:sub>
              </m:sSub>
              <m:r>
                <w:rPr>
                  <w:rFonts w:ascii="Cambria Math" w:hAnsi="Cambria Math"/>
                  <w:lang w:eastAsia="ko-KR"/>
                </w:rPr>
                <m:t>=C'∙</m:t>
              </m:r>
              <m:d>
                <m:dPr>
                  <m:begChr m:val="⌊"/>
                  <m:endChr m:val="⌋"/>
                  <m:ctrlPr>
                    <w:rPr>
                      <w:rFonts w:ascii="Cambria Math" w:hAnsi="Cambria Math"/>
                      <w:i/>
                    </w:rPr>
                  </m:ctrlPr>
                </m:dPr>
                <m:e>
                  <m:f>
                    <m:fPr>
                      <m:ctrlPr>
                        <w:rPr>
                          <w:rFonts w:ascii="Cambria Math" w:hAnsi="Cambria Math"/>
                          <w:i/>
                        </w:rPr>
                      </m:ctrlPr>
                    </m:fPr>
                    <m:num>
                      <m:r>
                        <w:rPr>
                          <w:rFonts w:ascii="Cambria Math" w:hAnsi="Cambria Math"/>
                        </w:rPr>
                        <m:t>A</m:t>
                      </m:r>
                      <m:ctrlPr>
                        <w:rPr>
                          <w:rFonts w:ascii="Cambria Math" w:hAnsi="Cambria Math"/>
                          <w:i/>
                        </w:rPr>
                      </m:ctrlPr>
                    </m:num>
                    <m:den>
                      <m:r>
                        <w:rPr>
                          <w:rFonts w:ascii="Cambria Math" w:hAnsi="Cambria Math"/>
                        </w:rPr>
                        <m:t>C</m:t>
                      </m:r>
                      <m:ctrlPr>
                        <w:rPr>
                          <w:rFonts w:ascii="Cambria Math" w:hAnsi="Cambria Math"/>
                          <w:i/>
                        </w:rPr>
                      </m:ctrlPr>
                    </m:den>
                  </m:f>
                  <m:ctrlPr>
                    <w:rPr>
                      <w:rFonts w:ascii="Cambria Math" w:hAnsi="Cambria Math"/>
                      <w:i/>
                    </w:rPr>
                  </m:ctrlPr>
                </m:e>
              </m:d>
            </m:oMath>
          </w:p>
          <w:p>
            <w:pPr>
              <w:pStyle w:val="88"/>
              <w:spacing w:before="120" w:line="280" w:lineRule="atLeast"/>
            </w:pPr>
            <w:r>
              <w:t>-</w:t>
            </w:r>
            <w:r>
              <w:tab/>
            </w:r>
            <w:r>
              <w:rPr>
                <w:i/>
              </w:rPr>
              <w:t>A</w:t>
            </w:r>
            <w:r>
              <w:t xml:space="preserve"> is the number of bits in the transport block as defined in Clause 6.2.1 [5, TS 38.212] </w:t>
            </w:r>
          </w:p>
          <w:p>
            <w:pPr>
              <w:pStyle w:val="88"/>
              <w:spacing w:before="120" w:line="280" w:lineRule="atLeast"/>
            </w:pPr>
            <w:r>
              <w:t>-</w:t>
            </w:r>
            <w:r>
              <w:tab/>
            </w:r>
            <w:r>
              <w:rPr>
                <w:i/>
              </w:rPr>
              <w:t>C</w:t>
            </w:r>
            <w:r>
              <w:t xml:space="preserve"> is the total number of code blocks for the transport block defined in Clause 5.2.2 [5, TS 38.212]</w:t>
            </w:r>
          </w:p>
          <w:p>
            <w:pPr>
              <w:pStyle w:val="88"/>
              <w:spacing w:before="120" w:line="280" w:lineRule="atLeast"/>
            </w:pPr>
            <w:r>
              <w:t>-</w:t>
            </w:r>
            <w:r>
              <w:tab/>
            </w:r>
            <m:oMath>
              <m:r>
                <w:rPr>
                  <w:rFonts w:ascii="Cambria Math" w:hAnsi="Cambria Math"/>
                  <w:lang w:eastAsia="ko-KR"/>
                </w:rPr>
                <m:t>C'</m:t>
              </m:r>
            </m:oMath>
            <w:r>
              <w:rPr>
                <w:rFonts w:eastAsiaTheme="minorEastAsia"/>
                <w:lang w:eastAsia="ko-KR"/>
              </w:rPr>
              <w:t xml:space="preserve"> </w:t>
            </w:r>
            <w:r>
              <w:t xml:space="preserve">is the number of scheduled code blocks for the transport block as defined in Clause 5.4.2.1 [5, TS 38.212] </w:t>
            </w:r>
          </w:p>
          <w:p>
            <w:pPr>
              <w:pStyle w:val="87"/>
              <w:spacing w:before="120" w:line="280" w:lineRule="atLeast"/>
              <w:rPr>
                <w:i/>
              </w:rPr>
            </w:pPr>
            <w:r>
              <w:t>-</w:t>
            </w:r>
            <w:r>
              <w:tab/>
            </w:r>
            <m:oMath>
              <m:r>
                <w:rPr>
                  <w:rFonts w:ascii="Cambria Math" w:hAnsi="Cambria Math"/>
                </w:rPr>
                <m:t>DataRateCC</m:t>
              </m:r>
            </m:oMath>
            <w:r>
              <w:t xml:space="preserve"> [Mbps] is computed </w:t>
            </w:r>
            <w:r>
              <w:rPr>
                <w:lang w:val="en-US"/>
              </w:rPr>
              <w:t>as the</w:t>
            </w:r>
            <w:r>
              <w:t xml:space="preserve"> maximum data rate </w:t>
            </w:r>
            <w:r>
              <w:rPr>
                <w:lang w:val="en-US"/>
              </w:rPr>
              <w:t xml:space="preserve">for a carrier in the frequency band of the serving cell for any signaled band combination and feature set consistent with the serving cell, where the data rate value is </w:t>
            </w:r>
            <w:r>
              <w:t xml:space="preserve">given by </w:t>
            </w:r>
            <w:r>
              <w:rPr>
                <w:lang w:val="en-US"/>
              </w:rPr>
              <w:t xml:space="preserve">the formula in </w:t>
            </w:r>
            <w:r>
              <w:t xml:space="preserve">Clause 4.1.2 in [13, TS 38.306], including the scaling factor </w:t>
            </w:r>
            <w:r>
              <w:rPr>
                <w:i/>
              </w:rPr>
              <w:t>f(i)</w:t>
            </w:r>
          </w:p>
          <w:p>
            <w:pPr>
              <w:pStyle w:val="87"/>
              <w:spacing w:before="120" w:line="280" w:lineRule="atLeast"/>
              <w:rPr>
                <w:rFonts w:hint="default"/>
                <w:vertAlign w:val="baseline"/>
                <w:lang w:val="en-US" w:eastAsia="zh-CN"/>
              </w:rPr>
            </w:pPr>
            <w:r>
              <w:t>-</w:t>
            </w:r>
            <w:r>
              <w:tab/>
            </w:r>
            <w:r>
              <w:rPr>
                <w:iCs/>
              </w:rPr>
              <w:t>each actual repetition for PUSCH repetition type B is treated as one PUSCH</w:t>
            </w:r>
            <w:r>
              <w:rPr>
                <w:i/>
              </w:rPr>
              <w:t>.</w:t>
            </w:r>
          </w:p>
        </w:tc>
      </w:tr>
    </w:tbl>
    <w:p>
      <w:pPr>
        <w:keepNext w:val="0"/>
        <w:keepLines w:val="0"/>
        <w:pageBreakBefore w:val="0"/>
        <w:widowControl/>
        <w:kinsoku/>
        <w:wordWrap/>
        <w:overflowPunct w:val="0"/>
        <w:topLinePunct w:val="0"/>
        <w:autoSpaceDE w:val="0"/>
        <w:autoSpaceDN w:val="0"/>
        <w:bidi w:val="0"/>
        <w:adjustRightInd w:val="0"/>
        <w:snapToGrid/>
        <w:spacing w:before="137" w:beforeLines="50"/>
        <w:textAlignment w:val="baseline"/>
        <w:rPr>
          <w:rFonts w:hint="default"/>
          <w:lang w:val="en-US" w:eastAsia="zh-CN"/>
        </w:rPr>
      </w:pPr>
      <w:r>
        <w:rPr>
          <w:rFonts w:hint="default"/>
          <w:lang w:val="en-US" w:eastAsia="zh-CN"/>
        </w:rPr>
        <w:t>For TBoMS transmission, it was agreed that the maximum supported TBS should not exceed legacy supported maximum TBS in Rel-15/16 for the same number of layers. It means that the data rate reduces in the case of TBoMS. Therefore, the date rate limitation for TBoMS should be reflected in the specification. Compared with the legacy PUSCH transmission, the main difference is</w:t>
      </w:r>
      <w:r>
        <w:rPr>
          <w:rFonts w:hint="eastAsia"/>
          <w:lang w:val="en-US" w:eastAsia="zh-CN"/>
        </w:rPr>
        <w:t xml:space="preserve"> the TBS is determined by</w:t>
      </w:r>
      <w:r>
        <w:rPr>
          <w:rFonts w:hint="default"/>
          <w:lang w:val="en-US" w:eastAsia="zh-CN"/>
        </w:rPr>
        <w:t xml:space="preserve"> </w:t>
      </w:r>
      <w:r>
        <w:rPr>
          <w:rFonts w:hint="eastAsia"/>
          <w:lang w:val="en-US" w:eastAsia="zh-CN"/>
        </w:rPr>
        <w:t>increased</w:t>
      </w:r>
      <w:r>
        <w:rPr>
          <w:rFonts w:hint="default"/>
          <w:lang w:val="en-US" w:eastAsia="zh-CN"/>
        </w:rPr>
        <w:t xml:space="preserve"> number of the symbols for transmission. Therefore, </w:t>
      </w:r>
      <w:r>
        <w:rPr>
          <w:rFonts w:hint="eastAsia"/>
          <w:lang w:val="en-US" w:eastAsia="zh-CN"/>
        </w:rPr>
        <w:t>an update of</w:t>
      </w:r>
      <w:r>
        <w:rPr>
          <w:rFonts w:hint="default"/>
          <w:lang w:val="en-US" w:eastAsia="zh-CN"/>
        </w:rPr>
        <w:t xml:space="preserve"> definition of L </w:t>
      </w:r>
      <w:r>
        <w:rPr>
          <w:rFonts w:hint="eastAsia"/>
          <w:lang w:val="en-US" w:eastAsia="zh-CN"/>
        </w:rPr>
        <w:t xml:space="preserve">or </w:t>
      </w:r>
      <w:r>
        <w:rPr>
          <w:rFonts w:hint="default"/>
          <w:lang w:val="en-US" w:eastAsia="zh-CN"/>
        </w:rPr>
        <w:t>A</w:t>
      </w:r>
      <w:r>
        <w:rPr>
          <w:rFonts w:hint="eastAsia"/>
          <w:lang w:val="en-US" w:eastAsia="zh-CN"/>
        </w:rPr>
        <w:t xml:space="preserve"> should be considered</w:t>
      </w:r>
      <w:r>
        <w:rPr>
          <w:rFonts w:hint="default"/>
          <w:lang w:val="en-US" w:eastAsia="zh-CN"/>
        </w:rPr>
        <w:t xml:space="preserve">. For example, L is defined as the number of symbols in multiples slots for TB processing </w:t>
      </w:r>
      <w:r>
        <w:rPr>
          <w:rFonts w:hint="eastAsia"/>
          <w:lang w:val="en-US" w:eastAsia="zh-CN"/>
        </w:rPr>
        <w:t xml:space="preserve">or </w:t>
      </w:r>
      <w:r>
        <w:rPr>
          <w:rFonts w:hint="default"/>
          <w:lang w:val="en-US" w:eastAsia="zh-CN"/>
        </w:rPr>
        <w:t xml:space="preserve">the TBS (i.e., A) is based on multiple slots for TB processing. </w:t>
      </w:r>
      <w:r>
        <w:rPr>
          <w:rFonts w:hint="eastAsia"/>
          <w:lang w:val="en-US" w:eastAsia="zh-CN"/>
        </w:rPr>
        <w:t xml:space="preserve">Considering the </w:t>
      </w:r>
      <w:r>
        <w:rPr>
          <w:rFonts w:hint="default"/>
          <w:lang w:val="en-US" w:eastAsia="zh-CN"/>
        </w:rPr>
        <w:t>data rate limitation for cell group is defined per slot</w:t>
      </w:r>
      <w:r>
        <w:rPr>
          <w:rFonts w:hint="eastAsia"/>
          <w:lang w:val="en-US" w:eastAsia="zh-CN"/>
        </w:rPr>
        <w:t>, we think it is more</w:t>
      </w:r>
      <w:r>
        <w:rPr>
          <w:rFonts w:hint="default"/>
          <w:lang w:val="en-US" w:eastAsia="zh-CN"/>
        </w:rPr>
        <w:t xml:space="preserve"> straightforward </w:t>
      </w:r>
      <w:r>
        <w:rPr>
          <w:rFonts w:hint="eastAsia"/>
          <w:lang w:val="en-US" w:eastAsia="zh-CN"/>
        </w:rPr>
        <w:t xml:space="preserve">and simpler </w:t>
      </w:r>
      <w:r>
        <w:rPr>
          <w:rFonts w:hint="default"/>
          <w:lang w:val="en-US" w:eastAsia="zh-CN"/>
        </w:rPr>
        <w:t xml:space="preserve">to </w:t>
      </w:r>
      <w:r>
        <w:rPr>
          <w:rFonts w:hint="eastAsia"/>
          <w:lang w:val="en-US" w:eastAsia="zh-CN"/>
        </w:rPr>
        <w:t xml:space="preserve">update the </w:t>
      </w:r>
      <w:r>
        <w:rPr>
          <w:rFonts w:hint="default"/>
          <w:lang w:val="en-US" w:eastAsia="zh-CN"/>
        </w:rPr>
        <w:t>definition of</w:t>
      </w:r>
      <w:r>
        <w:rPr>
          <w:rFonts w:hint="eastAsia"/>
          <w:lang w:val="en-US" w:eastAsia="zh-CN"/>
        </w:rPr>
        <w:t xml:space="preserve"> </w:t>
      </w:r>
      <w:r>
        <w:rPr>
          <w:rFonts w:hint="default"/>
          <w:lang w:val="en-US" w:eastAsia="zh-CN"/>
        </w:rPr>
        <w:t>A.</w:t>
      </w:r>
    </w:p>
    <w:p>
      <w:pPr>
        <w:rPr>
          <w:rFonts w:hint="default"/>
          <w:i/>
          <w:iCs/>
          <w:lang w:val="en-US" w:eastAsia="zh-CN"/>
        </w:rPr>
      </w:pPr>
      <w:r>
        <w:rPr>
          <w:rFonts w:hint="default"/>
          <w:b/>
          <w:bCs/>
          <w:i/>
          <w:iCs/>
          <w:lang w:val="en-US" w:eastAsia="zh-CN"/>
        </w:rPr>
        <w:t>Proposal 4:</w:t>
      </w:r>
      <w:r>
        <w:rPr>
          <w:rFonts w:hint="default"/>
          <w:i/>
          <w:iCs/>
          <w:lang w:val="en-US" w:eastAsia="zh-CN"/>
        </w:rPr>
        <w:t xml:space="preserve"> The data rate limitation for cell group should be updated to reflect TBoMS by scaling the TBS based on the number of slots for TB size determination.</w:t>
      </w:r>
    </w:p>
    <w:p>
      <w:pPr>
        <w:numPr>
          <w:ilvl w:val="0"/>
          <w:numId w:val="10"/>
        </w:numPr>
        <w:ind w:left="840" w:leftChars="0" w:hanging="420" w:firstLineChars="0"/>
        <w:rPr>
          <w:rFonts w:hint="default"/>
          <w:i/>
          <w:iCs/>
          <w:lang w:val="en-US" w:eastAsia="zh-CN"/>
        </w:rPr>
      </w:pPr>
      <w:r>
        <w:rPr>
          <w:rFonts w:hint="eastAsia"/>
          <w:i/>
          <w:iCs/>
          <w:lang w:val="en-US" w:eastAsia="zh-CN"/>
        </w:rPr>
        <w:t xml:space="preserve"> Adopt </w:t>
      </w:r>
      <w:r>
        <w:rPr>
          <w:rFonts w:hint="default"/>
          <w:i/>
          <w:iCs/>
          <w:lang w:val="en-US" w:eastAsia="zh-CN"/>
        </w:rPr>
        <w:t xml:space="preserve">Text proposal #1 </w:t>
      </w:r>
      <w:r>
        <w:rPr>
          <w:rFonts w:hint="eastAsia"/>
          <w:i/>
          <w:iCs/>
          <w:lang w:val="en-US" w:eastAsia="zh-CN"/>
        </w:rPr>
        <w:t>below</w:t>
      </w:r>
      <w:r>
        <w:rPr>
          <w:rFonts w:hint="default"/>
          <w:i/>
          <w:iCs/>
          <w:lang w:val="en-US" w:eastAsia="zh-CN"/>
        </w:rPr>
        <w:t>.</w:t>
      </w:r>
    </w:p>
    <w:p>
      <w:pPr>
        <w:rPr>
          <w:rFonts w:hint="default"/>
          <w:lang w:val="en-US" w:eastAsia="zh-CN"/>
        </w:rPr>
      </w:pPr>
      <w:r>
        <w:rPr>
          <w:rFonts w:hint="default"/>
          <w:lang w:val="en-US" w:eastAsia="zh-CN"/>
        </w:rPr>
        <w:t>----------------------------------------Text Proposal #1 for Section 6.1.4 in TS 38.214 h00------------------------------------</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4"/>
              <w:numPr>
                <w:ilvl w:val="2"/>
                <w:numId w:val="0"/>
              </w:numPr>
              <w:spacing w:line="280" w:lineRule="atLeast"/>
              <w:ind w:leftChars="0"/>
              <w:jc w:val="both"/>
              <w:rPr>
                <w:color w:val="000000"/>
                <w:sz w:val="28"/>
                <w:szCs w:val="28"/>
              </w:rPr>
            </w:pPr>
            <w:bookmarkStart w:id="3" w:name="_Toc45810621"/>
            <w:bookmarkStart w:id="4" w:name="_Toc29673353"/>
            <w:bookmarkStart w:id="5" w:name="_Toc91695494"/>
            <w:bookmarkStart w:id="6" w:name="_Toc29674346"/>
            <w:bookmarkStart w:id="7" w:name="_Toc29673212"/>
            <w:bookmarkStart w:id="8" w:name="_Toc27299938"/>
            <w:bookmarkStart w:id="9" w:name="_Toc11352150"/>
            <w:bookmarkStart w:id="10" w:name="_Toc36645576"/>
            <w:bookmarkStart w:id="11" w:name="_Toc20318040"/>
            <w:r>
              <w:rPr>
                <w:color w:val="000000"/>
                <w:sz w:val="28"/>
                <w:szCs w:val="28"/>
              </w:rPr>
              <w:t>6.1.4</w:t>
            </w:r>
            <w:r>
              <w:rPr>
                <w:color w:val="000000"/>
                <w:sz w:val="28"/>
                <w:szCs w:val="28"/>
              </w:rPr>
              <w:tab/>
            </w:r>
            <w:r>
              <w:rPr>
                <w:color w:val="000000"/>
                <w:sz w:val="28"/>
                <w:szCs w:val="28"/>
              </w:rPr>
              <w:t>Modulation order, redundancy version and transport block size determination</w:t>
            </w:r>
            <w:bookmarkEnd w:id="3"/>
            <w:bookmarkEnd w:id="4"/>
            <w:bookmarkEnd w:id="5"/>
            <w:bookmarkEnd w:id="6"/>
            <w:bookmarkEnd w:id="7"/>
            <w:bookmarkEnd w:id="8"/>
            <w:bookmarkEnd w:id="9"/>
            <w:bookmarkEnd w:id="10"/>
            <w:bookmarkEnd w:id="11"/>
          </w:p>
          <w:p>
            <w:pPr>
              <w:bidi w:val="0"/>
              <w:spacing w:before="120" w:line="280" w:lineRule="atLeast"/>
              <w:rPr>
                <w:rFonts w:hint="default"/>
                <w:vertAlign w:val="baseline"/>
                <w:lang w:val="en-US" w:eastAsia="zh-CN"/>
              </w:rPr>
            </w:pPr>
            <w:r>
              <w:rPr>
                <w:b/>
                <w:iCs/>
                <w:color w:val="FF0000"/>
                <w:sz w:val="28"/>
              </w:rPr>
              <w:t>&lt;Unchanged parts are omitted&gt;</w:t>
            </w:r>
          </w:p>
          <w:p>
            <w:pPr>
              <w:spacing w:before="120" w:line="280" w:lineRule="atLeast"/>
              <w:rPr>
                <w:color w:val="000000" w:themeColor="text1"/>
                <w14:textFill>
                  <w14:solidFill>
                    <w14:schemeClr w14:val="tx1"/>
                  </w14:solidFill>
                </w14:textFill>
              </w:rPr>
            </w:pPr>
            <w:r>
              <w:rPr>
                <w:color w:val="000000" w:themeColor="text1"/>
                <w:lang w:eastAsia="ko-KR"/>
                <w14:textFill>
                  <w14:solidFill>
                    <w14:schemeClr w14:val="tx1"/>
                  </w14:solidFill>
                </w14:textFill>
              </w:rPr>
              <w:t>Within a cell group, a</w:t>
            </w:r>
            <w:r>
              <w:rPr>
                <w:color w:val="000000" w:themeColor="text1"/>
                <w14:textFill>
                  <w14:solidFill>
                    <w14:schemeClr w14:val="tx1"/>
                  </w14:solidFill>
                </w14:textFill>
              </w:rPr>
              <w:t xml:space="preserve"> UE is not required to handle PUSCH(s) transmissions in slot </w:t>
            </w:r>
            <w:r>
              <w:rPr>
                <w:i/>
                <w:color w:val="000000" w:themeColor="text1"/>
                <w14:textFill>
                  <w14:solidFill>
                    <w14:schemeClr w14:val="tx1"/>
                  </w14:solidFill>
                </w14:textFill>
              </w:rPr>
              <w:t>s</w:t>
            </w:r>
            <w:r>
              <w:rPr>
                <w:i/>
                <w:color w:val="000000" w:themeColor="text1"/>
                <w:vertAlign w:val="subscript"/>
                <w14:textFill>
                  <w14:solidFill>
                    <w14:schemeClr w14:val="tx1"/>
                  </w14:solidFill>
                </w14:textFill>
              </w:rPr>
              <w:t>j</w:t>
            </w:r>
            <w:r>
              <w:rPr>
                <w:color w:val="000000" w:themeColor="text1"/>
                <w14:textFill>
                  <w14:solidFill>
                    <w14:schemeClr w14:val="tx1"/>
                  </w14:solidFill>
                </w14:textFill>
              </w:rPr>
              <w:t xml:space="preserve"> in serving cell-</w:t>
            </w:r>
            <w:r>
              <w:rPr>
                <w:i/>
                <w:color w:val="000000" w:themeColor="text1"/>
                <w14:textFill>
                  <w14:solidFill>
                    <w14:schemeClr w14:val="tx1"/>
                  </w14:solidFill>
                </w14:textFill>
              </w:rPr>
              <w:t>j</w:t>
            </w:r>
            <w:r>
              <w:rPr>
                <w:color w:val="000000" w:themeColor="text1"/>
                <w14:textFill>
                  <w14:solidFill>
                    <w14:schemeClr w14:val="tx1"/>
                  </w14:solidFill>
                </w14:textFill>
              </w:rPr>
              <w:t xml:space="preserve">, and for </w:t>
            </w:r>
            <w:r>
              <w:rPr>
                <w:i/>
                <w:color w:val="000000" w:themeColor="text1"/>
                <w14:textFill>
                  <w14:solidFill>
                    <w14:schemeClr w14:val="tx1"/>
                  </w14:solidFill>
                </w14:textFill>
              </w:rPr>
              <w:t>j</w:t>
            </w:r>
            <w:r>
              <w:rPr>
                <w:color w:val="000000" w:themeColor="text1"/>
                <w14:textFill>
                  <w14:solidFill>
                    <w14:schemeClr w14:val="tx1"/>
                  </w14:solidFill>
                </w14:textFill>
              </w:rPr>
              <w:t xml:space="preserve"> = 0,1,2.. </w:t>
            </w:r>
            <w:r>
              <w:rPr>
                <w:i/>
                <w:color w:val="000000" w:themeColor="text1"/>
                <w14:textFill>
                  <w14:solidFill>
                    <w14:schemeClr w14:val="tx1"/>
                  </w14:solidFill>
                </w14:textFill>
              </w:rPr>
              <w:t>J-1</w:t>
            </w:r>
            <w:r>
              <w:rPr>
                <w:color w:val="000000" w:themeColor="text1"/>
                <w14:textFill>
                  <w14:solidFill>
                    <w14:schemeClr w14:val="tx1"/>
                  </w14:solidFill>
                </w14:textFill>
              </w:rPr>
              <w:t xml:space="preserve">, slot </w:t>
            </w:r>
            <w:r>
              <w:rPr>
                <w:i/>
                <w:color w:val="000000" w:themeColor="text1"/>
                <w14:textFill>
                  <w14:solidFill>
                    <w14:schemeClr w14:val="tx1"/>
                  </w14:solidFill>
                </w14:textFill>
              </w:rPr>
              <w:t>s</w:t>
            </w:r>
            <w:r>
              <w:rPr>
                <w:i/>
                <w:color w:val="000000" w:themeColor="text1"/>
                <w:vertAlign w:val="subscript"/>
                <w14:textFill>
                  <w14:solidFill>
                    <w14:schemeClr w14:val="tx1"/>
                  </w14:solidFill>
                </w14:textFill>
              </w:rPr>
              <w:t>j</w:t>
            </w:r>
            <w:r>
              <w:rPr>
                <w:color w:val="000000" w:themeColor="text1"/>
                <w14:textFill>
                  <w14:solidFill>
                    <w14:schemeClr w14:val="tx1"/>
                  </w14:solidFill>
                </w14:textFill>
              </w:rPr>
              <w:t xml:space="preserve"> overlapping </w:t>
            </w:r>
            <w:r>
              <w:rPr>
                <w:color w:val="000000" w:themeColor="text1"/>
                <w:lang w:eastAsia="ko-KR"/>
                <w14:textFill>
                  <w14:solidFill>
                    <w14:schemeClr w14:val="tx1"/>
                  </w14:solidFill>
                </w14:textFill>
              </w:rPr>
              <w:t xml:space="preserve">with </w:t>
            </w:r>
            <w:r>
              <w:rPr>
                <w:color w:val="000000" w:themeColor="text1"/>
                <w14:textFill>
                  <w14:solidFill>
                    <w14:schemeClr w14:val="tx1"/>
                  </w14:solidFill>
                </w14:textFill>
              </w:rPr>
              <w:t xml:space="preserve">any given point in time, if the following condition is not satisfied at that point in time: </w:t>
            </w:r>
          </w:p>
          <w:p>
            <w:pPr>
              <w:pStyle w:val="74"/>
              <w:spacing w:before="120" w:line="280" w:lineRule="atLeast"/>
            </w:pPr>
            <m:oMath>
              <m:nary>
                <m:naryPr>
                  <m:chr m:val="∑"/>
                  <m:limLoc m:val="undOvr"/>
                  <m:ctrlPr>
                    <w:rPr>
                      <w:rFonts w:ascii="Cambria Math" w:hAnsi="Cambria Math"/>
                      <w:iCs/>
                    </w:rPr>
                  </m:ctrlPr>
                </m:naryPr>
                <m:sub>
                  <m:r>
                    <w:rPr>
                      <w:rFonts w:ascii="Cambria Math" w:hAnsi="Cambria Math"/>
                    </w:rPr>
                    <m:t>j</m:t>
                  </m:r>
                  <m:r>
                    <m:rPr>
                      <m:sty m:val="p"/>
                    </m:rPr>
                    <w:rPr>
                      <w:rFonts w:ascii="Cambria Math" w:hAnsi="Cambria Math"/>
                    </w:rPr>
                    <m:t>=0</m:t>
                  </m:r>
                  <m:ctrlPr>
                    <w:rPr>
                      <w:rFonts w:ascii="Cambria Math" w:hAnsi="Cambria Math"/>
                      <w:iCs/>
                    </w:rPr>
                  </m:ctrlPr>
                </m:sub>
                <m:sup>
                  <m:r>
                    <w:rPr>
                      <w:rFonts w:ascii="Cambria Math" w:hAnsi="Cambria Math"/>
                    </w:rPr>
                    <m:t>J</m:t>
                  </m:r>
                  <m:r>
                    <m:rPr>
                      <m:sty m:val="p"/>
                    </m:rPr>
                    <w:rPr>
                      <w:rFonts w:ascii="Cambria Math" w:hAnsi="Cambria Math"/>
                    </w:rPr>
                    <m:t>-1</m:t>
                  </m:r>
                  <m:ctrlPr>
                    <w:rPr>
                      <w:rFonts w:ascii="Cambria Math" w:hAnsi="Cambria Math"/>
                      <w:iCs/>
                    </w:rPr>
                  </m:ctrlPr>
                </m:sup>
                <m:e>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ctrlPr>
                            <w:rPr>
                              <w:rFonts w:ascii="Cambria Math" w:hAnsi="Cambria Math"/>
                              <w:lang w:eastAsia="ko-KR"/>
                            </w:rPr>
                          </m:ctrlPr>
                        </m:sub>
                        <m:sup>
                          <m:r>
                            <w:rPr>
                              <w:rFonts w:ascii="Cambria Math" w:hAnsi="Cambria Math"/>
                              <w:lang w:eastAsia="ko-KR"/>
                            </w:rPr>
                            <m:t>M</m:t>
                          </m:r>
                          <m:r>
                            <m:rPr>
                              <m:sty m:val="p"/>
                            </m:rPr>
                            <w:rPr>
                              <w:rFonts w:ascii="Cambria Math" w:hAnsi="Cambria Math"/>
                              <w:lang w:eastAsia="ko-KR"/>
                            </w:rPr>
                            <m:t>-1</m:t>
                          </m:r>
                          <m:ctrlPr>
                            <w:rPr>
                              <w:rFonts w:ascii="Cambria Math" w:hAnsi="Cambria Math"/>
                              <w:lang w:eastAsia="ko-KR"/>
                            </w:rPr>
                          </m:ctrlPr>
                        </m:sup>
                        <m:e>
                          <m:sSub>
                            <m:sSubPr>
                              <m:ctrlPr>
                                <w:rPr>
                                  <w:rFonts w:ascii="Cambria Math" w:hAnsi="Cambria Math"/>
                                  <w:lang w:eastAsia="ko-KR"/>
                                </w:rPr>
                              </m:ctrlPr>
                            </m:sSubPr>
                            <m:e>
                              <m:r>
                                <w:rPr>
                                  <w:rFonts w:ascii="Cambria Math" w:hAnsi="Cambria Math"/>
                                  <w:lang w:eastAsia="ko-KR"/>
                                </w:rPr>
                                <m:t>V</m:t>
                              </m:r>
                              <m:ctrlPr>
                                <w:rPr>
                                  <w:rFonts w:ascii="Cambria Math" w:hAnsi="Cambria Math"/>
                                  <w:lang w:eastAsia="ko-KR"/>
                                </w:rPr>
                              </m:ctrlP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ctrlPr>
                                <w:rPr>
                                  <w:rFonts w:ascii="Cambria Math" w:hAnsi="Cambria Math"/>
                                  <w:lang w:eastAsia="ko-KR"/>
                                </w:rPr>
                              </m:ctrlPr>
                            </m:sub>
                          </m:sSub>
                          <m:ctrlPr>
                            <w:rPr>
                              <w:rFonts w:ascii="Cambria Math" w:hAnsi="Cambria Math"/>
                              <w:lang w:eastAsia="ko-KR"/>
                            </w:rPr>
                          </m:ctrlPr>
                        </m:e>
                      </m:nary>
                      <m:ctrlPr>
                        <w:rPr>
                          <w:rFonts w:ascii="Cambria Math" w:hAnsi="Cambria Math"/>
                          <w:lang w:eastAsia="ko-KR"/>
                        </w:rPr>
                      </m:ctrlPr>
                    </m:num>
                    <m:den>
                      <m:sSubSup>
                        <m:sSubSupPr>
                          <m:ctrlPr>
                            <w:rPr>
                              <w:rFonts w:ascii="Cambria Math" w:hAnsi="Cambria Math"/>
                              <w:lang w:eastAsia="ko-KR"/>
                            </w:rPr>
                          </m:ctrlPr>
                        </m:sSubSupPr>
                        <m:e>
                          <m:r>
                            <w:rPr>
                              <w:rFonts w:ascii="Cambria Math" w:hAnsi="Cambria Math"/>
                              <w:lang w:eastAsia="ko-KR"/>
                            </w:rPr>
                            <m:t>T</m:t>
                          </m:r>
                          <m:ctrlPr>
                            <w:rPr>
                              <w:rFonts w:ascii="Cambria Math" w:hAnsi="Cambria Math"/>
                              <w:lang w:eastAsia="ko-KR"/>
                            </w:rPr>
                          </m:ctrlPr>
                        </m:e>
                        <m:sub>
                          <m:r>
                            <w:rPr>
                              <w:rFonts w:ascii="Cambria Math" w:hAnsi="Cambria Math"/>
                              <w:lang w:eastAsia="ko-KR"/>
                            </w:rPr>
                            <m:t>slot</m:t>
                          </m:r>
                          <m:ctrlPr>
                            <w:rPr>
                              <w:rFonts w:ascii="Cambria Math" w:hAnsi="Cambria Math"/>
                              <w:lang w:eastAsia="ko-KR"/>
                            </w:rPr>
                          </m:ctrlPr>
                        </m:sub>
                        <m:sup>
                          <m:r>
                            <w:rPr>
                              <w:rFonts w:ascii="Cambria Math" w:hAnsi="Cambria Math"/>
                              <w:lang w:eastAsia="ko-KR"/>
                            </w:rPr>
                            <m:t>μ</m:t>
                          </m:r>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m:t>
                          </m:r>
                          <m:ctrlPr>
                            <w:rPr>
                              <w:rFonts w:ascii="Cambria Math" w:hAnsi="Cambria Math"/>
                              <w:lang w:eastAsia="ko-KR"/>
                            </w:rPr>
                          </m:ctrlPr>
                        </m:sup>
                      </m:sSubSup>
                      <m:ctrlPr>
                        <w:rPr>
                          <w:rFonts w:ascii="Cambria Math" w:hAnsi="Cambria Math"/>
                          <w:lang w:eastAsia="ko-KR"/>
                        </w:rPr>
                      </m:ctrlPr>
                    </m:den>
                  </m:f>
                  <m:ctrlPr>
                    <w:rPr>
                      <w:rFonts w:ascii="Cambria Math" w:hAnsi="Cambria Math"/>
                      <w:iCs/>
                    </w:rPr>
                  </m:ctrlPr>
                </m:e>
              </m:nary>
              <m:r>
                <m:rPr>
                  <m:sty m:val="p"/>
                </m:rPr>
                <w:rPr>
                  <w:rFonts w:ascii="Cambria Math" w:hAnsi="Cambria Math"/>
                </w:rPr>
                <m:t>≤</m:t>
              </m:r>
              <m:r>
                <w:rPr>
                  <w:rFonts w:ascii="Cambria Math" w:hAnsi="Cambria Math"/>
                </w:rPr>
                <m:t>DataRate</m:t>
              </m:r>
            </m:oMath>
            <w:r>
              <w:t>,</w:t>
            </w:r>
          </w:p>
          <w:p>
            <w:pPr>
              <w:spacing w:before="120" w:line="280" w:lineRule="atLeast"/>
              <w:rPr>
                <w:color w:val="000000" w:themeColor="text1"/>
                <w:lang w:val="sv-SE" w:eastAsia="ko-KR"/>
                <w14:textFill>
                  <w14:solidFill>
                    <w14:schemeClr w14:val="tx1"/>
                  </w14:solidFill>
                </w14:textFill>
              </w:rPr>
            </w:pPr>
            <w:r>
              <w:rPr>
                <w:color w:val="000000" w:themeColor="text1"/>
                <w14:textFill>
                  <w14:solidFill>
                    <w14:schemeClr w14:val="tx1"/>
                  </w14:solidFill>
                </w14:textFill>
              </w:rPr>
              <w:t>where</w:t>
            </w:r>
          </w:p>
          <w:p>
            <w:pPr>
              <w:pStyle w:val="87"/>
              <w:spacing w:before="120" w:line="280" w:lineRule="atLeast"/>
            </w:pPr>
            <w:r>
              <w:rPr>
                <w:i/>
              </w:rPr>
              <w:t>-</w:t>
            </w:r>
            <w:r>
              <w:rPr>
                <w:i/>
              </w:rPr>
              <w:tab/>
            </w:r>
            <w:r>
              <w:rPr>
                <w:i/>
              </w:rPr>
              <w:t>J</w:t>
            </w:r>
            <w:r>
              <w:t xml:space="preserve"> is the number of </w:t>
            </w:r>
            <w:r>
              <w:rPr>
                <w:lang w:eastAsia="ko-KR"/>
              </w:rPr>
              <w:t xml:space="preserve">configured </w:t>
            </w:r>
            <w:r>
              <w:t>serving cells belong to a frequency range</w:t>
            </w:r>
          </w:p>
          <w:p>
            <w:pPr>
              <w:pStyle w:val="88"/>
              <w:spacing w:before="120" w:line="280" w:lineRule="atLeast"/>
            </w:pPr>
            <w:r>
              <w:t>-</w:t>
            </w:r>
            <w:r>
              <w:tab/>
            </w:r>
            <w:r>
              <w:t xml:space="preserve">for the </w:t>
            </w:r>
            <w:r>
              <w:rPr>
                <w:i/>
              </w:rPr>
              <w:t>j-th</w:t>
            </w:r>
            <w:r>
              <w:t xml:space="preserve"> serving cell,</w:t>
            </w:r>
          </w:p>
          <w:p>
            <w:pPr>
              <w:pStyle w:val="89"/>
              <w:spacing w:before="120" w:line="280" w:lineRule="atLeast"/>
              <w:rPr>
                <w:lang w:val="en-US"/>
              </w:rPr>
            </w:pPr>
            <w:r>
              <w:rPr>
                <w:i/>
                <w:lang w:eastAsia="ko-KR"/>
              </w:rPr>
              <w:t>-</w:t>
            </w:r>
            <w:r>
              <w:rPr>
                <w:i/>
                <w:lang w:eastAsia="ko-KR"/>
              </w:rPr>
              <w:tab/>
            </w:r>
            <w:r>
              <w:rPr>
                <w:i/>
                <w:lang w:eastAsia="ko-KR"/>
              </w:rPr>
              <w:t>M</w:t>
            </w:r>
            <w:r>
              <w:rPr>
                <w:lang w:eastAsia="ko-KR"/>
              </w:rPr>
              <w:t xml:space="preserve"> is the number of TB(s) transmitted in slot-</w:t>
            </w:r>
            <w:r>
              <w:rPr>
                <w:i/>
              </w:rPr>
              <w:t>s</w:t>
            </w:r>
            <w:r>
              <w:rPr>
                <w:i/>
                <w:vertAlign w:val="subscript"/>
              </w:rPr>
              <w:t>j</w:t>
            </w:r>
            <w:r>
              <w:rPr>
                <w:rFonts w:hint="eastAsia"/>
                <w:lang w:eastAsia="ko-KR"/>
              </w:rPr>
              <w:t>.</w:t>
            </w:r>
            <w:r>
              <w:rPr>
                <w:lang w:val="en-US" w:eastAsia="ko-KR"/>
              </w:rPr>
              <w:t xml:space="preserve"> </w:t>
            </w:r>
            <w:r>
              <w:rPr>
                <w:lang w:eastAsia="ko-KR"/>
              </w:rPr>
              <w:t>For PUSCH repetition Type B, each actual repetition is counted separately.</w:t>
            </w:r>
          </w:p>
          <w:p>
            <w:pPr>
              <w:pStyle w:val="89"/>
              <w:spacing w:before="120" w:line="280" w:lineRule="atLeast"/>
            </w:pPr>
            <w:r>
              <w:rPr>
                <w:i/>
              </w:rPr>
              <w:t>-</w:t>
            </w:r>
            <w:r>
              <w:rPr>
                <w:i/>
              </w:rPr>
              <w:tab/>
            </w:r>
            <w:r>
              <w:rPr>
                <w:i/>
              </w:rPr>
              <w:t>T</w:t>
            </w:r>
            <w:r>
              <w:rPr>
                <w:i/>
                <w:vertAlign w:val="subscript"/>
              </w:rPr>
              <w:t>slot</w:t>
            </w:r>
            <w:r>
              <w:rPr>
                <w:i/>
                <w:vertAlign w:val="superscript"/>
              </w:rPr>
              <w:sym w:font="Symbol" w:char="F06D"/>
            </w:r>
            <w:r>
              <w:rPr>
                <w:i/>
                <w:vertAlign w:val="superscript"/>
              </w:rPr>
              <w:t>(j)</w:t>
            </w:r>
            <w:r>
              <w:t xml:space="preserve"> =10</w:t>
            </w:r>
            <w:r>
              <w:rPr>
                <w:vertAlign w:val="superscript"/>
              </w:rPr>
              <w:t>-3</w:t>
            </w:r>
            <w:r>
              <w:t>/2</w:t>
            </w:r>
            <w:r>
              <w:rPr>
                <w:i/>
                <w:vertAlign w:val="superscript"/>
              </w:rPr>
              <w:sym w:font="Symbol" w:char="F06D"/>
            </w:r>
            <w:r>
              <w:rPr>
                <w:i/>
                <w:vertAlign w:val="superscript"/>
              </w:rPr>
              <w:t>(j</w:t>
            </w:r>
            <w:r>
              <w:rPr>
                <w:vertAlign w:val="superscript"/>
              </w:rPr>
              <w:t>)</w:t>
            </w:r>
            <w:r>
              <w:t xml:space="preserve">, where </w:t>
            </w:r>
            <w:r>
              <w:rPr>
                <w:i/>
              </w:rPr>
              <w:sym w:font="Symbol" w:char="F06D"/>
            </w:r>
            <w:r>
              <w:rPr>
                <w:i/>
              </w:rPr>
              <w:t>(j)</w:t>
            </w:r>
            <w:r>
              <w:t xml:space="preserve"> is the numerology for PUSCH(s) in slot </w:t>
            </w:r>
            <w:r>
              <w:rPr>
                <w:i/>
              </w:rPr>
              <w:t>s</w:t>
            </w:r>
            <w:r>
              <w:rPr>
                <w:i/>
                <w:vertAlign w:val="subscript"/>
              </w:rPr>
              <w:t>j</w:t>
            </w:r>
            <w:r>
              <w:t xml:space="preserve"> of the </w:t>
            </w:r>
            <w:r>
              <w:rPr>
                <w:i/>
              </w:rPr>
              <w:t>j</w:t>
            </w:r>
            <w:r>
              <w:t xml:space="preserve">-th </w:t>
            </w:r>
            <w:r>
              <w:rPr>
                <w:lang w:eastAsia="ko-KR"/>
              </w:rPr>
              <w:t>serving cell</w:t>
            </w:r>
            <w:r>
              <w:t>.</w:t>
            </w:r>
            <w:r>
              <w:rPr>
                <w:rFonts w:eastAsia="BatangChe"/>
                <w:lang w:eastAsia="ko-KR"/>
              </w:rPr>
              <w:t xml:space="preserve"> </w:t>
            </w:r>
          </w:p>
          <w:p>
            <w:pPr>
              <w:pStyle w:val="89"/>
              <w:spacing w:before="120" w:line="280" w:lineRule="atLeast"/>
              <w:rPr>
                <w:rFonts w:hint="default"/>
                <w:lang w:val="en-US"/>
              </w:rPr>
            </w:pPr>
            <w:r>
              <w:rPr>
                <w:lang w:eastAsia="ko-KR"/>
              </w:rPr>
              <w:t>-</w:t>
            </w:r>
            <w:r>
              <w:rPr>
                <w:lang w:eastAsia="ko-KR"/>
              </w:rPr>
              <w:tab/>
            </w:r>
            <w:r>
              <w:rPr>
                <w:lang w:eastAsia="ko-KR"/>
              </w:rPr>
              <w:t xml:space="preserve">for the </w:t>
            </w:r>
            <w:r>
              <w:rPr>
                <w:i/>
                <w:lang w:eastAsia="ko-KR"/>
              </w:rPr>
              <w:t>m</w:t>
            </w:r>
            <w:r>
              <w:t xml:space="preserve">-th TB, </w:t>
            </w:r>
            <m:oMath>
              <m:sSub>
                <m:sSubPr>
                  <m:ctrlPr>
                    <w:rPr>
                      <w:rFonts w:ascii="Cambria Math" w:hAnsi="Cambria Math"/>
                      <w:i/>
                      <w:strike/>
                      <w:dstrike w:val="0"/>
                      <w:color w:val="FF0000"/>
                      <w:lang w:eastAsia="ko-KR"/>
                    </w:rPr>
                  </m:ctrlPr>
                </m:sSubPr>
                <m:e>
                  <m:r>
                    <w:rPr>
                      <w:rFonts w:ascii="Cambria Math" w:hAnsi="Cambria Math"/>
                      <w:strike/>
                      <w:dstrike w:val="0"/>
                      <w:color w:val="FF0000"/>
                      <w:lang w:eastAsia="ko-KR"/>
                    </w:rPr>
                    <m:t>V</m:t>
                  </m:r>
                  <m:ctrlPr>
                    <w:rPr>
                      <w:rFonts w:ascii="Cambria Math" w:hAnsi="Cambria Math"/>
                      <w:i/>
                      <w:strike/>
                      <w:dstrike w:val="0"/>
                      <w:color w:val="FF0000"/>
                      <w:lang w:eastAsia="ko-KR"/>
                    </w:rPr>
                  </m:ctrlPr>
                </m:e>
                <m:sub>
                  <m:r>
                    <w:rPr>
                      <w:rFonts w:ascii="Cambria Math" w:hAnsi="Cambria Math"/>
                      <w:strike/>
                      <w:dstrike w:val="0"/>
                      <w:color w:val="FF0000"/>
                      <w:lang w:eastAsia="ko-KR"/>
                    </w:rPr>
                    <m:t>j,m</m:t>
                  </m:r>
                  <m:ctrlPr>
                    <w:rPr>
                      <w:rFonts w:ascii="Cambria Math" w:hAnsi="Cambria Math"/>
                      <w:i/>
                      <w:strike/>
                      <w:dstrike w:val="0"/>
                      <w:color w:val="FF0000"/>
                      <w:lang w:eastAsia="ko-KR"/>
                    </w:rPr>
                  </m:ctrlPr>
                </m:sub>
              </m:sSub>
              <m:r>
                <w:rPr>
                  <w:rFonts w:ascii="Cambria Math" w:hAnsi="Cambria Math"/>
                  <w:strike/>
                  <w:dstrike w:val="0"/>
                  <w:color w:val="FF0000"/>
                  <w:lang w:eastAsia="ko-KR"/>
                </w:rPr>
                <m:t>=C'∙</m:t>
              </m:r>
              <m:d>
                <m:dPr>
                  <m:begChr m:val="⌊"/>
                  <m:endChr m:val="⌋"/>
                  <m:ctrlPr>
                    <w:rPr>
                      <w:rFonts w:ascii="Cambria Math" w:hAnsi="Cambria Math"/>
                      <w:i/>
                      <w:iCs/>
                      <w:strike/>
                      <w:dstrike w:val="0"/>
                      <w:color w:val="FF0000"/>
                    </w:rPr>
                  </m:ctrlPr>
                </m:dPr>
                <m:e>
                  <m:f>
                    <m:fPr>
                      <m:ctrlPr>
                        <w:rPr>
                          <w:rFonts w:ascii="Cambria Math" w:hAnsi="Cambria Math"/>
                          <w:i/>
                          <w:iCs/>
                          <w:strike/>
                          <w:dstrike w:val="0"/>
                          <w:color w:val="FF0000"/>
                        </w:rPr>
                      </m:ctrlPr>
                    </m:fPr>
                    <m:num>
                      <m:r>
                        <w:rPr>
                          <w:rFonts w:ascii="Cambria Math" w:hAnsi="Cambria Math"/>
                          <w:strike/>
                          <w:dstrike w:val="0"/>
                          <w:color w:val="FF0000"/>
                        </w:rPr>
                        <m:t>A</m:t>
                      </m:r>
                      <m:ctrlPr>
                        <w:rPr>
                          <w:rFonts w:ascii="Cambria Math" w:hAnsi="Cambria Math"/>
                          <w:i/>
                          <w:iCs/>
                          <w:strike/>
                          <w:dstrike w:val="0"/>
                          <w:color w:val="FF0000"/>
                        </w:rPr>
                      </m:ctrlPr>
                    </m:num>
                    <m:den>
                      <m:r>
                        <w:rPr>
                          <w:rFonts w:ascii="Cambria Math" w:hAnsi="Cambria Math"/>
                          <w:strike/>
                          <w:dstrike w:val="0"/>
                          <w:color w:val="FF0000"/>
                        </w:rPr>
                        <m:t>C</m:t>
                      </m:r>
                      <m:ctrlPr>
                        <w:rPr>
                          <w:rFonts w:ascii="Cambria Math" w:hAnsi="Cambria Math"/>
                          <w:i/>
                          <w:iCs/>
                          <w:strike/>
                          <w:dstrike w:val="0"/>
                          <w:color w:val="FF0000"/>
                        </w:rPr>
                      </m:ctrlPr>
                    </m:den>
                  </m:f>
                  <m:ctrlPr>
                    <w:rPr>
                      <w:rFonts w:ascii="Cambria Math" w:hAnsi="Cambria Math"/>
                      <w:i/>
                      <w:iCs/>
                      <w:strike/>
                      <w:dstrike w:val="0"/>
                      <w:color w:val="FF0000"/>
                    </w:rPr>
                  </m:ctrlPr>
                </m:e>
              </m:d>
            </m:oMath>
            <w:r>
              <w:rPr>
                <w:rFonts w:hint="default" w:ascii="Cambria Math" w:hAnsi="Cambria Math"/>
                <w:i w:val="0"/>
                <w:iCs/>
                <w:color w:val="FF0000"/>
                <w:lang w:val="en-US"/>
              </w:rPr>
              <w:t xml:space="preserve"> </w:t>
            </w:r>
            <m:oMath>
              <m:sSub>
                <m:sSubPr>
                  <m:ctrlPr>
                    <w:rPr>
                      <w:rFonts w:ascii="Cambria Math" w:hAnsi="Cambria Math"/>
                      <w:i/>
                      <w:color w:val="FF0000"/>
                      <w:u w:val="single"/>
                      <w:lang w:eastAsia="ko-KR"/>
                    </w:rPr>
                  </m:ctrlPr>
                </m:sSubPr>
                <m:e>
                  <m:r>
                    <w:rPr>
                      <w:rFonts w:ascii="Cambria Math" w:hAnsi="Cambria Math"/>
                      <w:color w:val="FF0000"/>
                      <w:u w:val="single"/>
                      <w:lang w:eastAsia="ko-KR"/>
                    </w:rPr>
                    <m:t>V</m:t>
                  </m:r>
                  <m:ctrlPr>
                    <w:rPr>
                      <w:rFonts w:ascii="Cambria Math" w:hAnsi="Cambria Math"/>
                      <w:i/>
                      <w:color w:val="FF0000"/>
                      <w:u w:val="single"/>
                      <w:lang w:eastAsia="ko-KR"/>
                    </w:rPr>
                  </m:ctrlPr>
                </m:e>
                <m:sub>
                  <m:r>
                    <w:rPr>
                      <w:rFonts w:ascii="Cambria Math" w:hAnsi="Cambria Math"/>
                      <w:color w:val="FF0000"/>
                      <w:u w:val="single"/>
                      <w:lang w:eastAsia="ko-KR"/>
                    </w:rPr>
                    <m:t>j,m</m:t>
                  </m:r>
                  <m:ctrlPr>
                    <w:rPr>
                      <w:rFonts w:ascii="Cambria Math" w:hAnsi="Cambria Math"/>
                      <w:i/>
                      <w:color w:val="FF0000"/>
                      <w:u w:val="single"/>
                      <w:lang w:eastAsia="ko-KR"/>
                    </w:rPr>
                  </m:ctrlPr>
                </m:sub>
              </m:sSub>
              <m:r>
                <w:rPr>
                  <w:rFonts w:ascii="Cambria Math" w:hAnsi="Cambria Math"/>
                  <w:color w:val="FF0000"/>
                  <w:u w:val="single"/>
                  <w:lang w:eastAsia="ko-KR"/>
                </w:rPr>
                <m:t>=C'∙</m:t>
              </m:r>
              <m:d>
                <m:dPr>
                  <m:begChr m:val="⌊"/>
                  <m:endChr m:val="⌋"/>
                  <m:ctrlPr>
                    <w:rPr>
                      <w:rFonts w:ascii="Cambria Math" w:hAnsi="Cambria Math"/>
                      <w:i/>
                      <w:iCs/>
                      <w:color w:val="FF0000"/>
                      <w:u w:val="single"/>
                    </w:rPr>
                  </m:ctrlPr>
                </m:dPr>
                <m:e>
                  <m:f>
                    <m:fPr>
                      <m:ctrlPr>
                        <w:rPr>
                          <w:rFonts w:ascii="Cambria Math" w:hAnsi="Cambria Math"/>
                          <w:i/>
                          <w:iCs/>
                          <w:color w:val="FF0000"/>
                          <w:u w:val="single"/>
                        </w:rPr>
                      </m:ctrlPr>
                    </m:fPr>
                    <m:num>
                      <m:r>
                        <w:rPr>
                          <w:rFonts w:ascii="Cambria Math" w:hAnsi="Cambria Math"/>
                          <w:color w:val="FF0000"/>
                          <w:u w:val="single"/>
                        </w:rPr>
                        <m:t>A</m:t>
                      </m:r>
                      <m:ctrlPr>
                        <w:rPr>
                          <w:rFonts w:ascii="Cambria Math" w:hAnsi="Cambria Math"/>
                          <w:i/>
                          <w:iCs/>
                          <w:color w:val="FF0000"/>
                          <w:u w:val="single"/>
                        </w:rPr>
                      </m:ctrlPr>
                    </m:num>
                    <m:den>
                      <m:r>
                        <w:rPr>
                          <w:rFonts w:ascii="Cambria Math" w:hAnsi="Cambria Math"/>
                          <w:color w:val="FF0000"/>
                          <w:u w:val="single"/>
                        </w:rPr>
                        <m:t>C</m:t>
                      </m:r>
                      <m:ctrlPr>
                        <w:rPr>
                          <w:rFonts w:ascii="Cambria Math" w:hAnsi="Cambria Math"/>
                          <w:i/>
                          <w:iCs/>
                          <w:color w:val="FF0000"/>
                          <w:u w:val="single"/>
                        </w:rPr>
                      </m:ctrlPr>
                    </m:den>
                  </m:f>
                  <m:ctrlPr>
                    <w:rPr>
                      <w:rFonts w:ascii="Cambria Math" w:hAnsi="Cambria Math"/>
                      <w:i/>
                      <w:iCs/>
                      <w:color w:val="FF0000"/>
                      <w:u w:val="single"/>
                    </w:rPr>
                  </m:ctrlPr>
                </m:e>
              </m:d>
              <m:r>
                <w:rPr>
                  <w:rFonts w:ascii="Cambria Math" w:hAnsi="Cambria Math"/>
                  <w:color w:val="FF0000"/>
                  <w:u w:val="single"/>
                </w:rPr>
                <m:t>/N</m:t>
              </m:r>
            </m:oMath>
          </w:p>
          <w:p>
            <w:pPr>
              <w:pStyle w:val="90"/>
              <w:spacing w:before="120" w:line="280" w:lineRule="atLeast"/>
            </w:pPr>
            <w:r>
              <w:rPr>
                <w:i/>
              </w:rPr>
              <w:t>-</w:t>
            </w:r>
            <w:r>
              <w:rPr>
                <w:i/>
              </w:rPr>
              <w:tab/>
            </w:r>
            <w:r>
              <w:rPr>
                <w:i/>
              </w:rPr>
              <w:t>A</w:t>
            </w:r>
            <w:r>
              <w:t xml:space="preserve"> is the number of bits in the transport block as defined in Clause 6.2.1 [5, TS 38.212] </w:t>
            </w:r>
          </w:p>
          <w:p>
            <w:pPr>
              <w:pStyle w:val="90"/>
              <w:spacing w:before="120" w:line="280" w:lineRule="atLeast"/>
              <w:rPr>
                <w:lang w:eastAsia="ko-KR"/>
              </w:rPr>
            </w:pPr>
            <w:r>
              <w:rPr>
                <w:i/>
              </w:rPr>
              <w:t>-</w:t>
            </w:r>
            <w:r>
              <w:rPr>
                <w:i/>
              </w:rPr>
              <w:tab/>
            </w:r>
            <w:r>
              <w:rPr>
                <w:i/>
              </w:rPr>
              <w:t>C</w:t>
            </w:r>
            <w:r>
              <w:t xml:space="preserve"> </w:t>
            </w:r>
            <w:r>
              <w:rPr>
                <w:iCs/>
              </w:rPr>
              <w:t xml:space="preserve">is the total number of code blocks for the transport block </w:t>
            </w:r>
            <w:r>
              <w:t>defined in Clause 5.2.2 [5, TS 38.212].</w:t>
            </w:r>
            <m:oMath>
              <m:r>
                <w:rPr>
                  <w:rFonts w:ascii="Cambria Math" w:hAnsi="Cambria Math"/>
                  <w:lang w:eastAsia="ko-KR"/>
                </w:rPr>
                <m:t xml:space="preserve"> </m:t>
              </m:r>
            </m:oMath>
          </w:p>
          <w:p>
            <w:pPr>
              <w:pStyle w:val="90"/>
              <w:spacing w:before="120" w:line="280" w:lineRule="atLeast"/>
            </w:pPr>
            <w:r>
              <w:rPr>
                <w:lang w:eastAsia="ko-KR"/>
              </w:rPr>
              <w:t>-</w:t>
            </w:r>
            <w:r>
              <w:rPr>
                <w:lang w:eastAsia="ko-KR"/>
              </w:rPr>
              <w:tab/>
            </w:r>
            <m:oMath>
              <m:r>
                <w:rPr>
                  <w:rFonts w:ascii="Cambria Math" w:hAnsi="Cambria Math"/>
                  <w:lang w:eastAsia="ko-KR"/>
                </w:rPr>
                <m:t>C'</m:t>
              </m:r>
            </m:oMath>
            <w:r>
              <w:t xml:space="preserve">is the number of scheduled code blocks for the transport block as defined in Clause 5.4.2.1 [5,38.212] </w:t>
            </w:r>
          </w:p>
          <w:p>
            <w:pPr>
              <w:pStyle w:val="90"/>
              <w:spacing w:before="120" w:line="280" w:lineRule="atLeast"/>
              <w:rPr>
                <w:rFonts w:hint="default"/>
                <w:i w:val="0"/>
                <w:iCs w:val="0"/>
                <w:color w:val="FF0000"/>
                <w:u w:val="single"/>
                <w:lang w:val="en-US"/>
              </w:rPr>
            </w:pPr>
            <w:r>
              <w:rPr>
                <w:rFonts w:hint="default"/>
                <w:i w:val="0"/>
                <w:iCs w:val="0"/>
                <w:color w:val="FF0000"/>
                <w:u w:val="single"/>
                <w:lang w:val="en-US"/>
              </w:rPr>
              <w:t>-</w:t>
            </w:r>
            <w:r>
              <w:rPr>
                <w:i w:val="0"/>
                <w:iCs w:val="0"/>
                <w:color w:val="FF0000"/>
                <w:u w:val="single"/>
                <w:lang w:eastAsia="ko-KR"/>
              </w:rPr>
              <w:tab/>
            </w:r>
            <w:r>
              <w:rPr>
                <w:i w:val="0"/>
                <w:iCs w:val="0"/>
                <w:color w:val="FF0000"/>
                <w:u w:val="single"/>
              </w:rPr>
              <w:t>For TB processing over multiple slots</w:t>
            </w:r>
            <w:r>
              <w:rPr>
                <w:rFonts w:hint="eastAsia"/>
                <w:i w:val="0"/>
                <w:iCs w:val="0"/>
                <w:color w:val="FF0000"/>
                <w:u w:val="single"/>
                <w:lang w:val="en-US" w:eastAsia="zh-CN"/>
              </w:rPr>
              <w:t xml:space="preserve">, </w:t>
            </w:r>
            <w:r>
              <w:rPr>
                <w:i/>
                <w:iCs/>
                <w:color w:val="FF0000"/>
                <w:u w:val="single"/>
                <w:lang w:val="en-US"/>
              </w:rPr>
              <w:t>N</w:t>
            </w:r>
            <w:r>
              <w:rPr>
                <w:i w:val="0"/>
                <w:iCs w:val="0"/>
                <w:color w:val="FF0000"/>
                <w:u w:val="single"/>
                <w:lang w:val="en-US"/>
              </w:rPr>
              <w:t xml:space="preserve"> is indicated by </w:t>
            </w:r>
            <w:r>
              <w:rPr>
                <w:i/>
                <w:iCs/>
                <w:color w:val="FF0000"/>
                <w:u w:val="single"/>
                <w:lang w:val="en-US"/>
              </w:rPr>
              <w:t>numberOfSlotsTBoMS</w:t>
            </w:r>
            <w:r>
              <w:rPr>
                <w:rFonts w:hint="eastAsia"/>
                <w:i w:val="0"/>
                <w:iCs w:val="0"/>
                <w:color w:val="FF0000"/>
                <w:u w:val="single"/>
                <w:lang w:val="en-US" w:eastAsia="zh-CN"/>
              </w:rPr>
              <w:t>. Otherwise,</w:t>
            </w:r>
            <w:r>
              <w:rPr>
                <w:rFonts w:hint="default"/>
                <w:i w:val="0"/>
                <w:iCs w:val="0"/>
                <w:color w:val="FF0000"/>
                <w:u w:val="single"/>
                <w:lang w:val="en-US" w:eastAsia="ko-KR"/>
              </w:rPr>
              <w:t xml:space="preserve"> </w:t>
            </w:r>
            <m:oMath>
              <m:r>
                <m:rPr>
                  <m:sty m:val="p"/>
                </m:rPr>
                <w:rPr>
                  <w:rFonts w:ascii="Cambria Math" w:hAnsi="Cambria Math"/>
                  <w:color w:val="FF0000"/>
                  <w:u w:val="single"/>
                </w:rPr>
                <m:t>N</m:t>
              </m:r>
            </m:oMath>
            <w:r>
              <w:rPr>
                <w:rFonts w:hint="default"/>
                <w:i w:val="0"/>
                <w:iCs w:val="0"/>
                <w:color w:val="FF0000"/>
                <w:u w:val="single"/>
                <w:lang w:val="en-US" w:eastAsia="ko-KR"/>
              </w:rPr>
              <w:t>=1.</w:t>
            </w:r>
          </w:p>
          <w:p>
            <w:pPr>
              <w:pStyle w:val="87"/>
              <w:spacing w:before="120" w:line="280" w:lineRule="atLeast"/>
              <w:rPr>
                <w:rFonts w:eastAsiaTheme="minorEastAsia"/>
              </w:rPr>
            </w:pPr>
            <w:r>
              <w:t>-</w:t>
            </w:r>
            <w:r>
              <w:tab/>
            </w:r>
            <m:oMath>
              <m:r>
                <w:rPr>
                  <w:rFonts w:ascii="Cambria Math" w:hAnsi="Cambria Math"/>
                </w:rPr>
                <m:t>DataRate</m:t>
              </m:r>
            </m:oMath>
            <w:r>
              <w:t xml:space="preserve"> </w:t>
            </w:r>
            <w:r>
              <w:rPr>
                <w:lang w:eastAsia="ko-KR"/>
              </w:rPr>
              <w:t>[Mbps]</w:t>
            </w:r>
            <w:r>
              <w:rPr>
                <w:rFonts w:hint="eastAsia"/>
                <w:lang w:eastAsia="ko-KR"/>
              </w:rPr>
              <w:t xml:space="preserve"> </w:t>
            </w:r>
            <w:r>
              <w:t xml:space="preserve">is computed </w:t>
            </w:r>
            <w:r>
              <w:rPr>
                <w:lang w:val="en-US"/>
              </w:rPr>
              <w:t>as the</w:t>
            </w:r>
            <w:r>
              <w:t xml:space="preserve"> maximum data rate </w:t>
            </w:r>
            <w:r>
              <w:rPr>
                <w:lang w:val="en-US"/>
              </w:rPr>
              <w:t>summed over all the carriers in the frequency range for any signaled band combination and feature set consistent with the configured servings cells, where the data rate value is</w:t>
            </w:r>
            <w:r>
              <w:t xml:space="preserve"> given by </w:t>
            </w:r>
            <w:r>
              <w:rPr>
                <w:lang w:val="en-US"/>
              </w:rPr>
              <w:t xml:space="preserve">the formula in </w:t>
            </w:r>
            <w:r>
              <w:t xml:space="preserve">Clause 4.1.2 in [13, TS 38.306], </w:t>
            </w:r>
            <w:r>
              <w:rPr>
                <w:lang w:eastAsia="ko-KR"/>
              </w:rPr>
              <w:t xml:space="preserve">including the scaling factor </w:t>
            </w:r>
            <w:r>
              <w:rPr>
                <w:i/>
                <w:lang w:eastAsia="ko-KR"/>
              </w:rPr>
              <w:t>f(i)</w:t>
            </w:r>
            <w:r>
              <w:rPr>
                <w:i/>
              </w:rPr>
              <w:t>.</w:t>
            </w:r>
          </w:p>
          <w:p>
            <w:pPr>
              <w:spacing w:before="120" w:line="280" w:lineRule="atLeast"/>
              <w:rPr>
                <w:lang w:eastAsia="zh-CN"/>
              </w:rPr>
            </w:pPr>
            <w:r>
              <w:rPr>
                <w:lang w:eastAsia="zh-CN"/>
              </w:rPr>
              <w:t xml:space="preserve">For a </w:t>
            </w:r>
            <w:r>
              <w:rPr>
                <w:i/>
                <w:lang w:eastAsia="zh-CN"/>
              </w:rPr>
              <w:t>j</w:t>
            </w:r>
            <w:r>
              <w:rPr>
                <w:lang w:eastAsia="zh-CN"/>
              </w:rPr>
              <w:t xml:space="preserve">-th serving cell, </w:t>
            </w:r>
            <w:r>
              <w:rPr>
                <w:lang w:eastAsia="ko-KR"/>
              </w:rPr>
              <w:t xml:space="preserve">if </w:t>
            </w:r>
            <w:r>
              <w:rPr>
                <w:color w:val="000000" w:themeColor="text1"/>
                <w:lang w:eastAsia="ko-KR"/>
                <w14:textFill>
                  <w14:solidFill>
                    <w14:schemeClr w14:val="tx1"/>
                  </w14:solidFill>
                </w14:textFill>
              </w:rPr>
              <w:t xml:space="preserve">higher layer parameter </w:t>
            </w:r>
            <w:r>
              <w:rPr>
                <w:i/>
                <w:color w:val="000000" w:themeColor="text1"/>
                <w:lang w:eastAsia="ko-KR"/>
                <w14:textFill>
                  <w14:solidFill>
                    <w14:schemeClr w14:val="tx1"/>
                  </w14:solidFill>
                </w14:textFill>
              </w:rPr>
              <w:t>processingType2Enabled</w:t>
            </w:r>
            <w:r>
              <w:rPr>
                <w:color w:val="000000" w:themeColor="text1"/>
                <w:lang w:eastAsia="ko-KR"/>
                <w14:textFill>
                  <w14:solidFill>
                    <w14:schemeClr w14:val="tx1"/>
                  </w14:solidFill>
                </w14:textFill>
              </w:rPr>
              <w:t xml:space="preserve"> of </w:t>
            </w:r>
            <w:r>
              <w:rPr>
                <w:i/>
                <w:color w:val="000000" w:themeColor="text1"/>
                <w:lang w:eastAsia="ko-KR"/>
                <w14:textFill>
                  <w14:solidFill>
                    <w14:schemeClr w14:val="tx1"/>
                  </w14:solidFill>
                </w14:textFill>
              </w:rPr>
              <w:t>PUSCH-ServingCellConfig</w:t>
            </w:r>
            <w:r>
              <w:rPr>
                <w:color w:val="000000" w:themeColor="text1"/>
                <w:lang w:eastAsia="ko-KR"/>
                <w14:textFill>
                  <w14:solidFill>
                    <w14:schemeClr w14:val="tx1"/>
                  </w14:solidFill>
                </w14:textFill>
              </w:rPr>
              <w:t xml:space="preserve"> is configured</w:t>
            </w:r>
            <w:r>
              <w:rPr>
                <w:lang w:eastAsia="ko-KR"/>
              </w:rPr>
              <w:t xml:space="preserve"> for the serving cell </w:t>
            </w:r>
            <w:r>
              <w:rPr>
                <w:color w:val="000000" w:themeColor="text1"/>
                <w:lang w:eastAsia="ko-KR"/>
                <w14:textFill>
                  <w14:solidFill>
                    <w14:schemeClr w14:val="tx1"/>
                  </w14:solidFill>
                </w14:textFill>
              </w:rPr>
              <w:t>and set to '</w:t>
            </w:r>
            <w:r>
              <w:rPr>
                <w:iCs/>
                <w:color w:val="000000" w:themeColor="text1"/>
                <w:lang w:eastAsia="ko-KR"/>
                <w14:textFill>
                  <w14:solidFill>
                    <w14:schemeClr w14:val="tx1"/>
                  </w14:solidFill>
                </w14:textFill>
              </w:rPr>
              <w:t>enable'</w:t>
            </w:r>
            <w:r>
              <w:rPr>
                <w:i/>
                <w:color w:val="000000" w:themeColor="text1"/>
                <w:lang w:eastAsia="ko-KR"/>
                <w14:textFill>
                  <w14:solidFill>
                    <w14:schemeClr w14:val="tx1"/>
                  </w14:solidFill>
                </w14:textFill>
              </w:rPr>
              <w:t>,</w:t>
            </w:r>
            <w:r>
              <w:rPr>
                <w:color w:val="000000" w:themeColor="text1"/>
                <w:lang w:eastAsia="ko-KR"/>
                <w14:textFill>
                  <w14:solidFill>
                    <w14:schemeClr w14:val="tx1"/>
                  </w14:solidFill>
                </w14:textFill>
              </w:rPr>
              <w:t xml:space="preserve"> </w:t>
            </w:r>
            <w:r>
              <w:rPr>
                <w:lang w:eastAsia="ko-KR"/>
              </w:rPr>
              <w:t xml:space="preserve">or </w:t>
            </w:r>
            <w:r>
              <w:rPr>
                <w:lang w:eastAsia="zh-CN"/>
              </w:rPr>
              <w:t xml:space="preserve">if at least one </w:t>
            </w:r>
            <w:r>
              <w:rPr>
                <w:i/>
                <w:lang w:eastAsia="zh-CN"/>
              </w:rPr>
              <w:t>I</w:t>
            </w:r>
            <w:r>
              <w:rPr>
                <w:i/>
                <w:vertAlign w:val="subscript"/>
                <w:lang w:eastAsia="zh-CN"/>
              </w:rPr>
              <w:t>MCS</w:t>
            </w:r>
            <w:r>
              <w:rPr>
                <w:i/>
                <w:lang w:eastAsia="zh-CN"/>
              </w:rPr>
              <w:t xml:space="preserve"> &gt; W</w:t>
            </w:r>
            <w:r>
              <w:rPr>
                <w:lang w:eastAsia="zh-CN"/>
              </w:rPr>
              <w:t xml:space="preserve"> for</w:t>
            </w:r>
            <w:r>
              <w:rPr>
                <w:u w:val="single"/>
                <w:lang w:eastAsia="zh-CN"/>
              </w:rPr>
              <w:t xml:space="preserve"> </w:t>
            </w:r>
            <w:r>
              <w:rPr>
                <w:lang w:eastAsia="zh-CN"/>
              </w:rPr>
              <w:t xml:space="preserve">a PUSCH, where </w:t>
            </w:r>
            <w:r>
              <w:rPr>
                <w:i/>
                <w:lang w:eastAsia="zh-CN"/>
              </w:rPr>
              <w:t>W</w:t>
            </w:r>
            <w:r>
              <w:rPr>
                <w:lang w:eastAsia="zh-CN"/>
              </w:rPr>
              <w:t xml:space="preserve"> = 28 for MCS tables 5.1.3.1-1 and 5.1.3.1-3, and </w:t>
            </w:r>
            <w:r>
              <w:rPr>
                <w:i/>
                <w:lang w:eastAsia="zh-CN"/>
              </w:rPr>
              <w:t>W</w:t>
            </w:r>
            <w:r>
              <w:rPr>
                <w:lang w:eastAsia="zh-CN"/>
              </w:rPr>
              <w:t xml:space="preserve"> = 27 for MCS tables 5.1.3.1-2, 6.1.4.1-1, and 6.1.4.1-2,</w:t>
            </w:r>
            <w:r>
              <w:t xml:space="preserve"> or if it is an actual repetition for PUSCH repetition Type B, </w:t>
            </w:r>
            <w:r>
              <w:rPr>
                <w:lang w:eastAsia="zh-CN"/>
              </w:rPr>
              <w:t>the UE is not required to handle PUSCH transmissions, if the following condition is not satisfied:</w:t>
            </w:r>
          </w:p>
          <w:p>
            <w:pPr>
              <w:pStyle w:val="74"/>
              <w:spacing w:before="120" w:line="280" w:lineRule="atLeast"/>
              <w:rPr>
                <w:lang w:val="sv-SE"/>
              </w:rPr>
            </w:pPr>
            <m:oMathPara>
              <m:oMathParaPr>
                <m:jc m:val="centerGroup"/>
              </m:oMathParaPr>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ctrlPr>
                          <w:rPr>
                            <w:rFonts w:ascii="Cambria Math" w:hAnsi="Cambria Math"/>
                            <w:lang w:eastAsia="ko-KR"/>
                          </w:rPr>
                        </m:ctrlPr>
                      </m:sub>
                      <m:sup>
                        <m:r>
                          <w:rPr>
                            <w:rFonts w:ascii="Cambria Math" w:hAnsi="Cambria Math"/>
                            <w:lang w:eastAsia="ko-KR"/>
                          </w:rPr>
                          <m:t>M</m:t>
                        </m:r>
                        <m:r>
                          <m:rPr>
                            <m:sty m:val="p"/>
                          </m:rPr>
                          <w:rPr>
                            <w:rFonts w:ascii="Cambria Math" w:hAnsi="Cambria Math"/>
                            <w:lang w:eastAsia="ko-KR"/>
                          </w:rPr>
                          <m:t>-1</m:t>
                        </m:r>
                        <m:ctrlPr>
                          <w:rPr>
                            <w:rFonts w:ascii="Cambria Math" w:hAnsi="Cambria Math"/>
                            <w:lang w:eastAsia="ko-KR"/>
                          </w:rPr>
                        </m:ctrlPr>
                      </m:sup>
                      <m:e>
                        <m:sSub>
                          <m:sSubPr>
                            <m:ctrlPr>
                              <w:rPr>
                                <w:rFonts w:ascii="Cambria Math" w:hAnsi="Cambria Math"/>
                                <w:lang w:eastAsia="ko-KR"/>
                              </w:rPr>
                            </m:ctrlPr>
                          </m:sSubPr>
                          <m:e>
                            <m:r>
                              <w:rPr>
                                <w:rFonts w:ascii="Cambria Math" w:hAnsi="Cambria Math"/>
                                <w:lang w:eastAsia="ko-KR"/>
                              </w:rPr>
                              <m:t>V</m:t>
                            </m:r>
                            <m:ctrlPr>
                              <w:rPr>
                                <w:rFonts w:ascii="Cambria Math" w:hAnsi="Cambria Math"/>
                                <w:lang w:eastAsia="ko-KR"/>
                              </w:rPr>
                            </m:ctrlP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ctrlPr>
                              <w:rPr>
                                <w:rFonts w:ascii="Cambria Math" w:hAnsi="Cambria Math"/>
                                <w:lang w:eastAsia="ko-KR"/>
                              </w:rPr>
                            </m:ctrlPr>
                          </m:sub>
                        </m:sSub>
                        <m:ctrlPr>
                          <w:rPr>
                            <w:rFonts w:ascii="Cambria Math" w:hAnsi="Cambria Math"/>
                            <w:lang w:eastAsia="ko-KR"/>
                          </w:rPr>
                        </m:ctrlPr>
                      </m:e>
                    </m:nary>
                    <m:ctrlPr>
                      <w:rPr>
                        <w:rFonts w:ascii="Cambria Math" w:hAnsi="Cambria Math"/>
                        <w:lang w:eastAsia="ko-KR"/>
                      </w:rPr>
                    </m:ctrlPr>
                  </m:num>
                  <m:den>
                    <m:r>
                      <w:rPr>
                        <w:rFonts w:ascii="Cambria Math" w:hAnsi="Cambria Math"/>
                      </w:rPr>
                      <m:t>L</m:t>
                    </m:r>
                    <m:r>
                      <m:rPr>
                        <m:sty m:val="p"/>
                      </m:rPr>
                      <w:rPr>
                        <w:rFonts w:ascii="Cambria Math" w:hAnsi="Cambria Math"/>
                      </w:rPr>
                      <m:t>×</m:t>
                    </m:r>
                    <m:sSubSup>
                      <m:sSubSupPr>
                        <m:ctrlPr>
                          <w:rPr>
                            <w:rFonts w:ascii="Cambria Math" w:hAnsi="Cambria Math"/>
                            <w:iCs/>
                          </w:rPr>
                        </m:ctrlPr>
                      </m:sSubSupPr>
                      <m:e>
                        <m:r>
                          <w:rPr>
                            <w:rFonts w:ascii="Cambria Math" w:hAnsi="Cambria Math"/>
                          </w:rPr>
                          <m:t>T</m:t>
                        </m:r>
                        <m:ctrlPr>
                          <w:rPr>
                            <w:rFonts w:ascii="Cambria Math" w:hAnsi="Cambria Math"/>
                            <w:iCs/>
                          </w:rPr>
                        </m:ctrlPr>
                      </m:e>
                      <m:sub>
                        <m:r>
                          <w:rPr>
                            <w:rFonts w:ascii="Cambria Math" w:hAnsi="Cambria Math"/>
                          </w:rPr>
                          <m:t>s</m:t>
                        </m:r>
                        <m:ctrlPr>
                          <w:rPr>
                            <w:rFonts w:ascii="Cambria Math" w:hAnsi="Cambria Math"/>
                            <w:iCs/>
                          </w:rPr>
                        </m:ctrlPr>
                      </m:sub>
                      <m:sup>
                        <m:r>
                          <w:rPr>
                            <w:rFonts w:ascii="Cambria Math" w:hAnsi="Cambria Math"/>
                          </w:rPr>
                          <m:t>μ</m:t>
                        </m:r>
                        <m:ctrlPr>
                          <w:rPr>
                            <w:rFonts w:ascii="Cambria Math" w:hAnsi="Cambria Math"/>
                            <w:iCs/>
                          </w:rPr>
                        </m:ctrlPr>
                      </m:sup>
                    </m:sSubSup>
                    <m:ctrlPr>
                      <w:rPr>
                        <w:rFonts w:ascii="Cambria Math" w:hAnsi="Cambria Math"/>
                        <w:lang w:eastAsia="ko-KR"/>
                      </w:rPr>
                    </m:ctrlPr>
                  </m:den>
                </m:f>
                <m:r>
                  <m:rPr>
                    <m:sty m:val="p"/>
                  </m:rPr>
                  <w:rPr>
                    <w:rFonts w:ascii="Cambria Math" w:hAnsi="Cambria Math"/>
                  </w:rPr>
                  <m:t>≤</m:t>
                </m:r>
                <m:r>
                  <w:rPr>
                    <w:rFonts w:ascii="Cambria Math" w:hAnsi="Cambria Math"/>
                  </w:rPr>
                  <m:t>DataRateCC</m:t>
                </m:r>
              </m:oMath>
            </m:oMathPara>
          </w:p>
          <w:p>
            <w:pPr>
              <w:spacing w:before="120" w:line="280" w:lineRule="atLeast"/>
              <w:rPr>
                <w:iCs/>
                <w:color w:val="000000" w:themeColor="text1"/>
                <w14:textFill>
                  <w14:solidFill>
                    <w14:schemeClr w14:val="tx1"/>
                  </w14:solidFill>
                </w14:textFill>
              </w:rPr>
            </w:pPr>
            <w:r>
              <w:rPr>
                <w:iCs/>
                <w:color w:val="000000" w:themeColor="text1"/>
                <w:lang w:eastAsia="ko-KR"/>
                <w14:textFill>
                  <w14:solidFill>
                    <w14:schemeClr w14:val="tx1"/>
                  </w14:solidFill>
                </w14:textFill>
              </w:rPr>
              <w:t>w</w:t>
            </w:r>
            <w:r>
              <w:rPr>
                <w:iCs/>
                <w:color w:val="000000" w:themeColor="text1"/>
                <w14:textFill>
                  <w14:solidFill>
                    <w14:schemeClr w14:val="tx1"/>
                  </w14:solidFill>
                </w14:textFill>
              </w:rPr>
              <w:t>here</w:t>
            </w:r>
          </w:p>
          <w:p>
            <w:pPr>
              <w:pStyle w:val="87"/>
              <w:spacing w:before="120" w:line="280" w:lineRule="atLeast"/>
            </w:pPr>
            <w:r>
              <w:t>-</w:t>
            </w:r>
            <w:r>
              <w:tab/>
            </w:r>
            <m:oMath>
              <m:r>
                <w:rPr>
                  <w:rFonts w:ascii="Cambria Math" w:hAnsi="Cambria Math"/>
                </w:rPr>
                <m:t xml:space="preserve">L </m:t>
              </m:r>
            </m:oMath>
            <w:r>
              <w:t>is the number of symbols assigned to the PUSCH</w:t>
            </w:r>
          </w:p>
          <w:p>
            <w:pPr>
              <w:pStyle w:val="87"/>
              <w:spacing w:before="120" w:line="280" w:lineRule="atLeast"/>
            </w:pPr>
            <w:r>
              <w:t>-</w:t>
            </w:r>
            <w:r>
              <w:tab/>
            </w:r>
            <w:r>
              <w:rPr>
                <w:rFonts w:hint="eastAsia"/>
                <w:i/>
                <w:lang w:eastAsia="ko-KR"/>
              </w:rPr>
              <w:t>M</w:t>
            </w:r>
            <w:r>
              <w:rPr>
                <w:rFonts w:hint="eastAsia"/>
                <w:lang w:eastAsia="ko-KR"/>
              </w:rPr>
              <w:t xml:space="preserve"> is the number of TB </w:t>
            </w:r>
            <w:r>
              <w:rPr>
                <w:lang w:eastAsia="ko-KR"/>
              </w:rPr>
              <w:t>in the PUSCH</w:t>
            </w:r>
          </w:p>
          <w:p>
            <w:pPr>
              <w:pStyle w:val="87"/>
              <w:spacing w:before="120" w:line="280" w:lineRule="atLeast"/>
            </w:pPr>
            <w:r>
              <w:t>-</w:t>
            </w:r>
            <w:r>
              <w:tab/>
            </w:r>
            <m:oMath>
              <m:sSubSup>
                <m:sSubSupPr>
                  <m:ctrlPr>
                    <w:rPr>
                      <w:rFonts w:ascii="Cambria Math" w:hAnsi="Cambria Math"/>
                      <w:i/>
                    </w:rPr>
                  </m:ctrlPr>
                </m:sSubSupPr>
                <m:e>
                  <m:r>
                    <w:rPr>
                      <w:rFonts w:ascii="Cambria Math" w:hAnsi="Cambria Math"/>
                    </w:rPr>
                    <m:t>T</m:t>
                  </m:r>
                  <m:ctrlPr>
                    <w:rPr>
                      <w:rFonts w:ascii="Cambria Math" w:hAnsi="Cambria Math"/>
                      <w:i/>
                    </w:rPr>
                  </m:ctrlPr>
                </m:e>
                <m:sub>
                  <m:r>
                    <w:rPr>
                      <w:rFonts w:ascii="Cambria Math" w:hAnsi="Cambria Math"/>
                    </w:rPr>
                    <m:t>s</m:t>
                  </m:r>
                  <m:ctrlPr>
                    <w:rPr>
                      <w:rFonts w:ascii="Cambria Math" w:hAnsi="Cambria Math"/>
                      <w:i/>
                    </w:rPr>
                  </m:ctrlPr>
                </m:sub>
                <m:sup>
                  <m:r>
                    <w:rPr>
                      <w:rFonts w:ascii="Cambria Math" w:hAnsi="Cambria Math"/>
                    </w:rPr>
                    <m:t>μ</m:t>
                  </m:r>
                  <m:ctrlPr>
                    <w:rPr>
                      <w:rFonts w:ascii="Cambria Math" w:hAnsi="Cambria Math"/>
                      <w:i/>
                    </w:rPr>
                  </m:ctrlP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ctrlPr>
                        <w:rPr>
                          <w:rFonts w:ascii="Cambria Math" w:hAnsi="Cambria Math"/>
                          <w:i/>
                        </w:rPr>
                      </m:ctrlPr>
                    </m:e>
                    <m:sup>
                      <m:r>
                        <w:rPr>
                          <w:rFonts w:ascii="Cambria Math" w:hAnsi="Cambria Math"/>
                        </w:rPr>
                        <m:t>-3</m:t>
                      </m:r>
                      <m:ctrlPr>
                        <w:rPr>
                          <w:rFonts w:ascii="Cambria Math" w:hAnsi="Cambria Math"/>
                          <w:i/>
                        </w:rPr>
                      </m:ctrlPr>
                    </m:sup>
                  </m:sSup>
                  <m:ctrlPr>
                    <w:rPr>
                      <w:rFonts w:ascii="Cambria Math" w:hAnsi="Cambria Math"/>
                      <w:i/>
                    </w:rPr>
                  </m:ctrlPr>
                </m:num>
                <m:den>
                  <m:sSubSup>
                    <m:sSubSupPr>
                      <m:ctrlPr>
                        <w:rPr>
                          <w:rFonts w:ascii="Cambria Math" w:hAnsi="Cambria Math"/>
                          <w:i/>
                        </w:rPr>
                      </m:ctrlPr>
                    </m:sSubSupPr>
                    <m:e>
                      <m:sSup>
                        <m:sSupPr>
                          <m:ctrlPr>
                            <w:rPr>
                              <w:rFonts w:ascii="Cambria Math" w:hAnsi="Cambria Math"/>
                              <w:i/>
                            </w:rPr>
                          </m:ctrlPr>
                        </m:sSupPr>
                        <m:e>
                          <m:r>
                            <w:rPr>
                              <w:rFonts w:ascii="Cambria Math" w:hAnsi="Cambria Math"/>
                            </w:rPr>
                            <m:t>2</m:t>
                          </m:r>
                          <m:ctrlPr>
                            <w:rPr>
                              <w:rFonts w:ascii="Cambria Math" w:hAnsi="Cambria Math"/>
                              <w:i/>
                            </w:rPr>
                          </m:ctrlPr>
                        </m:e>
                        <m:sup>
                          <m:r>
                            <w:rPr>
                              <w:rFonts w:ascii="Cambria Math" w:hAnsi="Cambria Math"/>
                            </w:rPr>
                            <m:t>μ</m:t>
                          </m:r>
                          <m:ctrlPr>
                            <w:rPr>
                              <w:rFonts w:ascii="Cambria Math" w:hAnsi="Cambria Math"/>
                              <w:i/>
                            </w:rPr>
                          </m:ctrlPr>
                        </m:sup>
                      </m:sSup>
                      <m:r>
                        <w:rPr>
                          <w:rFonts w:ascii="Cambria Math" w:hAnsi="Cambria Math"/>
                        </w:rPr>
                        <m:t>∙N</m:t>
                      </m:r>
                      <m:ctrlPr>
                        <w:rPr>
                          <w:rFonts w:ascii="Cambria Math" w:hAnsi="Cambria Math"/>
                          <w:i/>
                        </w:rPr>
                      </m:ctrlPr>
                    </m:e>
                    <m:sub>
                      <m:r>
                        <w:rPr>
                          <w:rFonts w:ascii="Cambria Math" w:hAnsi="Cambria Math"/>
                        </w:rPr>
                        <m:t>symb</m:t>
                      </m:r>
                      <m:ctrlPr>
                        <w:rPr>
                          <w:rFonts w:ascii="Cambria Math" w:hAnsi="Cambria Math"/>
                          <w:i/>
                        </w:rPr>
                      </m:ctrlPr>
                    </m:sub>
                    <m:sup>
                      <m:r>
                        <w:rPr>
                          <w:rFonts w:ascii="Cambria Math" w:hAnsi="Cambria Math"/>
                        </w:rPr>
                        <m:t>slot</m:t>
                      </m:r>
                      <m:ctrlPr>
                        <w:rPr>
                          <w:rFonts w:ascii="Cambria Math" w:hAnsi="Cambria Math"/>
                          <w:i/>
                        </w:rPr>
                      </m:ctrlPr>
                    </m:sup>
                  </m:sSubSup>
                  <m:ctrlPr>
                    <w:rPr>
                      <w:rFonts w:ascii="Cambria Math" w:hAnsi="Cambria Math"/>
                      <w:i/>
                    </w:rPr>
                  </m:ctrlPr>
                </m:den>
              </m:f>
            </m:oMath>
            <w:r>
              <w:t xml:space="preserve"> where </w:t>
            </w:r>
            <w:r>
              <w:rPr/>
              <w:sym w:font="Symbol" w:char="F06D"/>
            </w:r>
            <w:r>
              <w:t xml:space="preserve"> is the numerology of the PUSCH </w:t>
            </w:r>
          </w:p>
          <w:p>
            <w:pPr>
              <w:pStyle w:val="87"/>
              <w:spacing w:before="120" w:line="280" w:lineRule="atLeast"/>
            </w:pPr>
            <w:r>
              <w:t>-</w:t>
            </w:r>
            <w:r>
              <w:tab/>
            </w:r>
            <w:r>
              <w:rPr>
                <w:lang w:eastAsia="ko-KR"/>
              </w:rPr>
              <w:t xml:space="preserve">for the </w:t>
            </w:r>
            <w:r>
              <w:rPr>
                <w:i/>
                <w:lang w:eastAsia="ko-KR"/>
              </w:rPr>
              <w:t>m</w:t>
            </w:r>
            <w:r>
              <w:t xml:space="preserve">-th TB, </w:t>
            </w:r>
            <m:oMath>
              <m:sSub>
                <m:sSubPr>
                  <m:ctrlPr>
                    <w:rPr>
                      <w:rFonts w:ascii="Cambria Math" w:hAnsi="Cambria Math"/>
                      <w:i/>
                      <w:lang w:eastAsia="ko-KR"/>
                    </w:rPr>
                  </m:ctrlPr>
                </m:sSubPr>
                <m:e>
                  <m:r>
                    <w:rPr>
                      <w:rFonts w:ascii="Cambria Math" w:hAnsi="Cambria Math"/>
                      <w:lang w:eastAsia="ko-KR"/>
                    </w:rPr>
                    <m:t>V</m:t>
                  </m:r>
                  <m:ctrlPr>
                    <w:rPr>
                      <w:rFonts w:ascii="Cambria Math" w:hAnsi="Cambria Math"/>
                      <w:i/>
                      <w:lang w:eastAsia="ko-KR"/>
                    </w:rPr>
                  </m:ctrlPr>
                </m:e>
                <m:sub>
                  <m:r>
                    <w:rPr>
                      <w:rFonts w:ascii="Cambria Math" w:hAnsi="Cambria Math"/>
                      <w:lang w:eastAsia="ko-KR"/>
                    </w:rPr>
                    <m:t>j,m</m:t>
                  </m:r>
                  <m:ctrlPr>
                    <w:rPr>
                      <w:rFonts w:ascii="Cambria Math" w:hAnsi="Cambria Math"/>
                      <w:i/>
                      <w:lang w:eastAsia="ko-KR"/>
                    </w:rPr>
                  </m:ctrlPr>
                </m:sub>
              </m:sSub>
              <m:r>
                <w:rPr>
                  <w:rFonts w:ascii="Cambria Math" w:hAnsi="Cambria Math"/>
                  <w:lang w:eastAsia="ko-KR"/>
                </w:rPr>
                <m:t>=C'∙</m:t>
              </m:r>
              <m:d>
                <m:dPr>
                  <m:begChr m:val="⌊"/>
                  <m:endChr m:val="⌋"/>
                  <m:ctrlPr>
                    <w:rPr>
                      <w:rFonts w:ascii="Cambria Math" w:hAnsi="Cambria Math"/>
                      <w:i/>
                    </w:rPr>
                  </m:ctrlPr>
                </m:dPr>
                <m:e>
                  <m:f>
                    <m:fPr>
                      <m:ctrlPr>
                        <w:rPr>
                          <w:rFonts w:ascii="Cambria Math" w:hAnsi="Cambria Math"/>
                          <w:i/>
                        </w:rPr>
                      </m:ctrlPr>
                    </m:fPr>
                    <m:num>
                      <m:r>
                        <w:rPr>
                          <w:rFonts w:ascii="Cambria Math" w:hAnsi="Cambria Math"/>
                        </w:rPr>
                        <m:t>A</m:t>
                      </m:r>
                      <m:ctrlPr>
                        <w:rPr>
                          <w:rFonts w:ascii="Cambria Math" w:hAnsi="Cambria Math"/>
                          <w:i/>
                        </w:rPr>
                      </m:ctrlPr>
                    </m:num>
                    <m:den>
                      <m:r>
                        <w:rPr>
                          <w:rFonts w:ascii="Cambria Math" w:hAnsi="Cambria Math"/>
                        </w:rPr>
                        <m:t>C</m:t>
                      </m:r>
                      <m:ctrlPr>
                        <w:rPr>
                          <w:rFonts w:ascii="Cambria Math" w:hAnsi="Cambria Math"/>
                          <w:i/>
                        </w:rPr>
                      </m:ctrlPr>
                    </m:den>
                  </m:f>
                  <m:ctrlPr>
                    <w:rPr>
                      <w:rFonts w:ascii="Cambria Math" w:hAnsi="Cambria Math"/>
                      <w:i/>
                    </w:rPr>
                  </m:ctrlPr>
                </m:e>
              </m:d>
            </m:oMath>
          </w:p>
          <w:p>
            <w:pPr>
              <w:pStyle w:val="88"/>
              <w:spacing w:before="120" w:line="280" w:lineRule="atLeast"/>
            </w:pPr>
            <w:r>
              <w:t>-</w:t>
            </w:r>
            <w:r>
              <w:tab/>
            </w:r>
            <w:r>
              <w:rPr>
                <w:i/>
              </w:rPr>
              <w:t>A</w:t>
            </w:r>
            <w:r>
              <w:t xml:space="preserve"> is the number of bits in the transport block as defined in Clause 6.2.1 [5, TS 38.212] </w:t>
            </w:r>
          </w:p>
          <w:p>
            <w:pPr>
              <w:pStyle w:val="88"/>
              <w:spacing w:before="120" w:line="280" w:lineRule="atLeast"/>
            </w:pPr>
            <w:r>
              <w:t>-</w:t>
            </w:r>
            <w:r>
              <w:tab/>
            </w:r>
            <w:r>
              <w:rPr>
                <w:i/>
              </w:rPr>
              <w:t>C</w:t>
            </w:r>
            <w:r>
              <w:t xml:space="preserve"> is the total number of code blocks for the transport block defined in Clause 5.2.2 [5, TS 38.212]</w:t>
            </w:r>
          </w:p>
          <w:p>
            <w:pPr>
              <w:pStyle w:val="88"/>
              <w:spacing w:before="120" w:line="280" w:lineRule="atLeast"/>
            </w:pPr>
            <w:r>
              <w:t>-</w:t>
            </w:r>
            <w:r>
              <w:tab/>
            </w:r>
            <m:oMath>
              <m:r>
                <w:rPr>
                  <w:rFonts w:ascii="Cambria Math" w:hAnsi="Cambria Math"/>
                  <w:lang w:eastAsia="ko-KR"/>
                </w:rPr>
                <m:t>C'</m:t>
              </m:r>
            </m:oMath>
            <w:r>
              <w:rPr>
                <w:rFonts w:eastAsiaTheme="minorEastAsia"/>
                <w:lang w:eastAsia="ko-KR"/>
              </w:rPr>
              <w:t xml:space="preserve"> </w:t>
            </w:r>
            <w:r>
              <w:t xml:space="preserve">is the number of scheduled code blocks for the transport block as defined in Clause 5.4.2.1 [5, TS 38.212] </w:t>
            </w:r>
          </w:p>
          <w:p>
            <w:pPr>
              <w:pStyle w:val="87"/>
              <w:spacing w:before="120" w:line="280" w:lineRule="atLeast"/>
              <w:rPr>
                <w:i/>
              </w:rPr>
            </w:pPr>
            <w:r>
              <w:t>-</w:t>
            </w:r>
            <w:r>
              <w:tab/>
            </w:r>
            <m:oMath>
              <m:r>
                <w:rPr>
                  <w:rFonts w:ascii="Cambria Math" w:hAnsi="Cambria Math"/>
                </w:rPr>
                <m:t>DataRateCC</m:t>
              </m:r>
            </m:oMath>
            <w:r>
              <w:t xml:space="preserve"> [Mbps] is computed </w:t>
            </w:r>
            <w:r>
              <w:rPr>
                <w:lang w:val="en-US"/>
              </w:rPr>
              <w:t>as the</w:t>
            </w:r>
            <w:r>
              <w:t xml:space="preserve"> maximum data rate </w:t>
            </w:r>
            <w:r>
              <w:rPr>
                <w:lang w:val="en-US"/>
              </w:rPr>
              <w:t xml:space="preserve">for a carrier in the frequency band of the serving cell for any signaled band combination and feature set consistent with the serving cell, where the data rate value is </w:t>
            </w:r>
            <w:r>
              <w:t xml:space="preserve">given by </w:t>
            </w:r>
            <w:r>
              <w:rPr>
                <w:lang w:val="en-US"/>
              </w:rPr>
              <w:t xml:space="preserve">the formula in </w:t>
            </w:r>
            <w:r>
              <w:t xml:space="preserve">Clause 4.1.2 in [13, TS 38.306], including the scaling factor </w:t>
            </w:r>
            <w:r>
              <w:rPr>
                <w:i/>
              </w:rPr>
              <w:t>f(i)</w:t>
            </w:r>
          </w:p>
          <w:p>
            <w:pPr>
              <w:spacing w:before="120" w:line="280" w:lineRule="atLeast"/>
              <w:rPr>
                <w:rFonts w:hint="default"/>
                <w:iCs/>
                <w:lang w:val="en-US"/>
              </w:rPr>
            </w:pPr>
            <w:r>
              <w:t>-</w:t>
            </w:r>
            <w:r>
              <w:tab/>
            </w:r>
            <w:r>
              <w:rPr>
                <w:iCs/>
              </w:rPr>
              <w:t>each actual repetition for PUSCH repetition type B is treated as one PUSCH</w:t>
            </w:r>
            <w:r>
              <w:rPr>
                <w:rFonts w:hint="default"/>
                <w:iCs/>
                <w:lang w:val="en-US"/>
              </w:rPr>
              <w:t>.</w:t>
            </w:r>
          </w:p>
          <w:p>
            <w:pPr>
              <w:spacing w:before="120" w:line="280" w:lineRule="atLeast"/>
              <w:rPr>
                <w:rFonts w:hint="default"/>
                <w:iCs/>
                <w:lang w:val="en-US" w:eastAsia="zh-CN"/>
              </w:rPr>
            </w:pPr>
            <w:r>
              <w:rPr>
                <w:b/>
                <w:iCs/>
                <w:color w:val="FF0000"/>
                <w:sz w:val="28"/>
              </w:rPr>
              <w:t>&lt;Unchanged parts are omitted&gt;</w:t>
            </w:r>
          </w:p>
        </w:tc>
      </w:tr>
    </w:tbl>
    <w:p>
      <w:pPr>
        <w:rPr>
          <w:rFonts w:hint="default"/>
          <w:lang w:val="en-US" w:eastAsia="zh-CN"/>
        </w:rPr>
      </w:pPr>
    </w:p>
    <w:p>
      <w:pPr>
        <w:pStyle w:val="2"/>
        <w:rPr>
          <w:lang w:eastAsia="zh-CN"/>
        </w:rPr>
      </w:pPr>
      <w:r>
        <w:rPr>
          <w:rFonts w:hint="eastAsia"/>
          <w:lang w:eastAsia="zh-CN"/>
        </w:rPr>
        <w:t>C</w:t>
      </w:r>
      <w:r>
        <w:rPr>
          <w:lang w:eastAsia="zh-CN"/>
        </w:rPr>
        <w:t>onclusion</w:t>
      </w:r>
    </w:p>
    <w:p>
      <w:pPr>
        <w:bidi w:val="0"/>
        <w:rPr>
          <w:rFonts w:hint="default"/>
          <w:lang w:val="en-US" w:eastAsia="zh-CN"/>
        </w:rPr>
      </w:pPr>
      <w:r>
        <w:rPr>
          <w:rFonts w:hint="default"/>
          <w:lang w:val="en-US" w:eastAsia="zh-CN"/>
        </w:rPr>
        <w:t>According to the analysis given above, we have the following proposals:</w:t>
      </w:r>
    </w:p>
    <w:p>
      <w:pPr>
        <w:bidi w:val="0"/>
        <w:rPr>
          <w:rFonts w:hint="default"/>
          <w:i/>
          <w:iCs/>
          <w:lang w:val="en-US" w:eastAsia="zh-CN"/>
        </w:rPr>
      </w:pPr>
      <w:r>
        <w:rPr>
          <w:rFonts w:hint="default"/>
          <w:b/>
          <w:bCs/>
          <w:i/>
          <w:iCs/>
          <w:lang w:val="en-US" w:eastAsia="zh-CN"/>
        </w:rPr>
        <w:t>Proposal 1:</w:t>
      </w:r>
      <w:r>
        <w:rPr>
          <w:rFonts w:hint="default"/>
          <w:i/>
          <w:iCs/>
          <w:lang w:val="en-US" w:eastAsia="zh-CN"/>
        </w:rPr>
        <w:t xml:space="preserve"> For single TBoMS transmission and no overlapping PUCCH with HARQ-ACK within a span of one PUCCH slot, if T-DAI in UL grant is not equal to 4 for Type 2 codebook or is equal to 1 for Type 1 codebook, the UE should multiplex HARQ-ACK in the PUSCH following the T-DAI in UL grant.</w:t>
      </w:r>
    </w:p>
    <w:p>
      <w:pPr>
        <w:rPr>
          <w:rFonts w:hint="default"/>
          <w:i/>
          <w:iCs/>
          <w:lang w:val="en-US" w:eastAsia="zh-CN"/>
        </w:rPr>
      </w:pPr>
      <w:r>
        <w:rPr>
          <w:rFonts w:hint="default"/>
          <w:b/>
          <w:bCs/>
          <w:i/>
          <w:iCs/>
          <w:lang w:val="en-US" w:eastAsia="zh-CN"/>
        </w:rPr>
        <w:t>Proposal 2:</w:t>
      </w:r>
      <w:r>
        <w:rPr>
          <w:rFonts w:hint="default"/>
          <w:i/>
          <w:iCs/>
          <w:lang w:val="en-US" w:eastAsia="zh-CN"/>
        </w:rPr>
        <w:t xml:space="preserve"> One of the slot for TBoMS transmission should be specified for HARQ-ACK multiplexing if the UE does not know the PUCCH slot due to missing detection of the DL DCI and the T-DAI in the UL grant is not equal to 4 for Type 2 codebook or is equal to 1 for Type 1 codebook.</w:t>
      </w:r>
    </w:p>
    <w:p>
      <w:pPr>
        <w:bidi w:val="0"/>
        <w:rPr>
          <w:rFonts w:hint="default"/>
          <w:i/>
          <w:iCs/>
          <w:lang w:val="en-US" w:eastAsia="zh-CN"/>
        </w:rPr>
      </w:pPr>
      <w:r>
        <w:rPr>
          <w:rFonts w:hint="default"/>
          <w:b/>
          <w:bCs/>
          <w:i/>
          <w:iCs/>
          <w:lang w:val="en-US" w:eastAsia="zh-CN"/>
        </w:rPr>
        <w:t>Proposal 3:</w:t>
      </w:r>
      <w:r>
        <w:rPr>
          <w:rFonts w:hint="default"/>
          <w:i/>
          <w:iCs/>
          <w:lang w:val="en-US" w:eastAsia="zh-CN"/>
        </w:rPr>
        <w:t xml:space="preserve"> The coded bits that originally map to a dropped slot for the TBoMS transmission should be skipped for the rate matching for TBoMS.</w:t>
      </w:r>
    </w:p>
    <w:p>
      <w:pPr>
        <w:rPr>
          <w:rFonts w:hint="default"/>
          <w:i/>
          <w:iCs/>
          <w:lang w:val="en-US" w:eastAsia="zh-CN"/>
        </w:rPr>
      </w:pPr>
      <w:r>
        <w:rPr>
          <w:rFonts w:hint="default"/>
          <w:b/>
          <w:bCs/>
          <w:i/>
          <w:iCs/>
          <w:lang w:val="en-US" w:eastAsia="zh-CN"/>
        </w:rPr>
        <w:t>Proposal 4:</w:t>
      </w:r>
      <w:r>
        <w:rPr>
          <w:rFonts w:hint="default"/>
          <w:i/>
          <w:iCs/>
          <w:lang w:val="en-US" w:eastAsia="zh-CN"/>
        </w:rPr>
        <w:t xml:space="preserve"> The data rate limitation for cell group should be updated to reflect TBoMS by scaling the TBS based on the number of slots for TB size determination.</w:t>
      </w:r>
    </w:p>
    <w:p>
      <w:pPr>
        <w:numPr>
          <w:ilvl w:val="0"/>
          <w:numId w:val="10"/>
        </w:numPr>
        <w:ind w:left="840" w:leftChars="0" w:hanging="420" w:firstLineChars="0"/>
        <w:rPr>
          <w:rFonts w:hint="default"/>
          <w:i/>
          <w:iCs/>
          <w:lang w:val="en-US" w:eastAsia="zh-CN"/>
        </w:rPr>
      </w:pPr>
      <w:r>
        <w:rPr>
          <w:rFonts w:hint="eastAsia"/>
          <w:i/>
          <w:iCs/>
          <w:lang w:val="en-US" w:eastAsia="zh-CN"/>
        </w:rPr>
        <w:t xml:space="preserve"> Adopt </w:t>
      </w:r>
      <w:r>
        <w:rPr>
          <w:rFonts w:hint="default"/>
          <w:i/>
          <w:iCs/>
          <w:lang w:val="en-US" w:eastAsia="zh-CN"/>
        </w:rPr>
        <w:t xml:space="preserve">Text proposal #1 </w:t>
      </w:r>
      <w:r>
        <w:rPr>
          <w:rFonts w:hint="eastAsia"/>
          <w:i/>
          <w:iCs/>
          <w:lang w:val="en-US" w:eastAsia="zh-CN"/>
        </w:rPr>
        <w:t>below</w:t>
      </w:r>
      <w:r>
        <w:rPr>
          <w:rFonts w:hint="default"/>
          <w:i/>
          <w:iCs/>
          <w:lang w:val="en-US" w:eastAsia="zh-CN"/>
        </w:rPr>
        <w:t>.</w:t>
      </w:r>
    </w:p>
    <w:p>
      <w:pPr>
        <w:rPr>
          <w:rFonts w:hint="default"/>
          <w:lang w:val="en-US" w:eastAsia="zh-CN"/>
        </w:rPr>
      </w:pPr>
      <w:r>
        <w:rPr>
          <w:rFonts w:hint="default"/>
          <w:lang w:val="en-US" w:eastAsia="zh-CN"/>
        </w:rPr>
        <w:t>----------------------------------------Text Proposal #1 for Section 6.1.4 in TS 38.214 h00------------------------------------</w:t>
      </w:r>
    </w:p>
    <w:tbl>
      <w:tblPr>
        <w:tblStyle w:val="51"/>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pStyle w:val="4"/>
              <w:numPr>
                <w:ilvl w:val="2"/>
                <w:numId w:val="0"/>
              </w:numPr>
              <w:spacing w:line="280" w:lineRule="atLeast"/>
              <w:ind w:leftChars="0"/>
              <w:jc w:val="both"/>
              <w:rPr>
                <w:color w:val="000000"/>
                <w:sz w:val="28"/>
                <w:szCs w:val="28"/>
              </w:rPr>
            </w:pPr>
            <w:r>
              <w:rPr>
                <w:color w:val="000000"/>
                <w:sz w:val="28"/>
                <w:szCs w:val="28"/>
              </w:rPr>
              <w:t>6.1.4</w:t>
            </w:r>
            <w:r>
              <w:rPr>
                <w:color w:val="000000"/>
                <w:sz w:val="28"/>
                <w:szCs w:val="28"/>
              </w:rPr>
              <w:tab/>
            </w:r>
            <w:r>
              <w:rPr>
                <w:color w:val="000000"/>
                <w:sz w:val="28"/>
                <w:szCs w:val="28"/>
              </w:rPr>
              <w:t>Modulation order, redundancy version and transport block size determination</w:t>
            </w:r>
          </w:p>
          <w:p>
            <w:pPr>
              <w:bidi w:val="0"/>
              <w:spacing w:before="120" w:line="280" w:lineRule="atLeast"/>
              <w:rPr>
                <w:rFonts w:hint="default"/>
                <w:vertAlign w:val="baseline"/>
                <w:lang w:val="en-US" w:eastAsia="zh-CN"/>
              </w:rPr>
            </w:pPr>
            <w:r>
              <w:rPr>
                <w:b/>
                <w:iCs/>
                <w:color w:val="FF0000"/>
                <w:sz w:val="28"/>
              </w:rPr>
              <w:t>&lt;Unchanged parts are omitted&gt;</w:t>
            </w:r>
          </w:p>
          <w:p>
            <w:pPr>
              <w:spacing w:before="120" w:line="280" w:lineRule="atLeast"/>
              <w:rPr>
                <w:color w:val="000000" w:themeColor="text1"/>
                <w14:textFill>
                  <w14:solidFill>
                    <w14:schemeClr w14:val="tx1"/>
                  </w14:solidFill>
                </w14:textFill>
              </w:rPr>
            </w:pPr>
            <w:r>
              <w:rPr>
                <w:color w:val="000000" w:themeColor="text1"/>
                <w:lang w:eastAsia="ko-KR"/>
                <w14:textFill>
                  <w14:solidFill>
                    <w14:schemeClr w14:val="tx1"/>
                  </w14:solidFill>
                </w14:textFill>
              </w:rPr>
              <w:t>Within a cell group, a</w:t>
            </w:r>
            <w:r>
              <w:rPr>
                <w:color w:val="000000" w:themeColor="text1"/>
                <w14:textFill>
                  <w14:solidFill>
                    <w14:schemeClr w14:val="tx1"/>
                  </w14:solidFill>
                </w14:textFill>
              </w:rPr>
              <w:t xml:space="preserve"> UE is not required to handle PUSCH(s) transmissions in slot </w:t>
            </w:r>
            <w:r>
              <w:rPr>
                <w:i/>
                <w:color w:val="000000" w:themeColor="text1"/>
                <w14:textFill>
                  <w14:solidFill>
                    <w14:schemeClr w14:val="tx1"/>
                  </w14:solidFill>
                </w14:textFill>
              </w:rPr>
              <w:t>s</w:t>
            </w:r>
            <w:r>
              <w:rPr>
                <w:i/>
                <w:color w:val="000000" w:themeColor="text1"/>
                <w:vertAlign w:val="subscript"/>
                <w14:textFill>
                  <w14:solidFill>
                    <w14:schemeClr w14:val="tx1"/>
                  </w14:solidFill>
                </w14:textFill>
              </w:rPr>
              <w:t>j</w:t>
            </w:r>
            <w:r>
              <w:rPr>
                <w:color w:val="000000" w:themeColor="text1"/>
                <w14:textFill>
                  <w14:solidFill>
                    <w14:schemeClr w14:val="tx1"/>
                  </w14:solidFill>
                </w14:textFill>
              </w:rPr>
              <w:t xml:space="preserve"> in serving cell-</w:t>
            </w:r>
            <w:r>
              <w:rPr>
                <w:i/>
                <w:color w:val="000000" w:themeColor="text1"/>
                <w14:textFill>
                  <w14:solidFill>
                    <w14:schemeClr w14:val="tx1"/>
                  </w14:solidFill>
                </w14:textFill>
              </w:rPr>
              <w:t>j</w:t>
            </w:r>
            <w:r>
              <w:rPr>
                <w:color w:val="000000" w:themeColor="text1"/>
                <w14:textFill>
                  <w14:solidFill>
                    <w14:schemeClr w14:val="tx1"/>
                  </w14:solidFill>
                </w14:textFill>
              </w:rPr>
              <w:t xml:space="preserve">, and for </w:t>
            </w:r>
            <w:r>
              <w:rPr>
                <w:i/>
                <w:color w:val="000000" w:themeColor="text1"/>
                <w14:textFill>
                  <w14:solidFill>
                    <w14:schemeClr w14:val="tx1"/>
                  </w14:solidFill>
                </w14:textFill>
              </w:rPr>
              <w:t>j</w:t>
            </w:r>
            <w:r>
              <w:rPr>
                <w:color w:val="000000" w:themeColor="text1"/>
                <w14:textFill>
                  <w14:solidFill>
                    <w14:schemeClr w14:val="tx1"/>
                  </w14:solidFill>
                </w14:textFill>
              </w:rPr>
              <w:t xml:space="preserve"> = 0,1,2.. </w:t>
            </w:r>
            <w:r>
              <w:rPr>
                <w:i/>
                <w:color w:val="000000" w:themeColor="text1"/>
                <w14:textFill>
                  <w14:solidFill>
                    <w14:schemeClr w14:val="tx1"/>
                  </w14:solidFill>
                </w14:textFill>
              </w:rPr>
              <w:t>J-1</w:t>
            </w:r>
            <w:r>
              <w:rPr>
                <w:color w:val="000000" w:themeColor="text1"/>
                <w14:textFill>
                  <w14:solidFill>
                    <w14:schemeClr w14:val="tx1"/>
                  </w14:solidFill>
                </w14:textFill>
              </w:rPr>
              <w:t xml:space="preserve">, slot </w:t>
            </w:r>
            <w:r>
              <w:rPr>
                <w:i/>
                <w:color w:val="000000" w:themeColor="text1"/>
                <w14:textFill>
                  <w14:solidFill>
                    <w14:schemeClr w14:val="tx1"/>
                  </w14:solidFill>
                </w14:textFill>
              </w:rPr>
              <w:t>s</w:t>
            </w:r>
            <w:r>
              <w:rPr>
                <w:i/>
                <w:color w:val="000000" w:themeColor="text1"/>
                <w:vertAlign w:val="subscript"/>
                <w14:textFill>
                  <w14:solidFill>
                    <w14:schemeClr w14:val="tx1"/>
                  </w14:solidFill>
                </w14:textFill>
              </w:rPr>
              <w:t>j</w:t>
            </w:r>
            <w:r>
              <w:rPr>
                <w:color w:val="000000" w:themeColor="text1"/>
                <w14:textFill>
                  <w14:solidFill>
                    <w14:schemeClr w14:val="tx1"/>
                  </w14:solidFill>
                </w14:textFill>
              </w:rPr>
              <w:t xml:space="preserve"> overlapping </w:t>
            </w:r>
            <w:r>
              <w:rPr>
                <w:color w:val="000000" w:themeColor="text1"/>
                <w:lang w:eastAsia="ko-KR"/>
                <w14:textFill>
                  <w14:solidFill>
                    <w14:schemeClr w14:val="tx1"/>
                  </w14:solidFill>
                </w14:textFill>
              </w:rPr>
              <w:t xml:space="preserve">with </w:t>
            </w:r>
            <w:r>
              <w:rPr>
                <w:color w:val="000000" w:themeColor="text1"/>
                <w14:textFill>
                  <w14:solidFill>
                    <w14:schemeClr w14:val="tx1"/>
                  </w14:solidFill>
                </w14:textFill>
              </w:rPr>
              <w:t xml:space="preserve">any given point in time, if the following condition is not satisfied at that point in time: </w:t>
            </w:r>
          </w:p>
          <w:p>
            <w:pPr>
              <w:pStyle w:val="74"/>
              <w:spacing w:before="120" w:line="280" w:lineRule="atLeast"/>
            </w:pPr>
            <m:oMath>
              <m:nary>
                <m:naryPr>
                  <m:chr m:val="∑"/>
                  <m:limLoc m:val="undOvr"/>
                  <m:ctrlPr>
                    <w:rPr>
                      <w:rFonts w:ascii="Cambria Math" w:hAnsi="Cambria Math"/>
                      <w:iCs/>
                    </w:rPr>
                  </m:ctrlPr>
                </m:naryPr>
                <m:sub>
                  <m:r>
                    <w:rPr>
                      <w:rFonts w:ascii="Cambria Math" w:hAnsi="Cambria Math"/>
                    </w:rPr>
                    <m:t>j</m:t>
                  </m:r>
                  <m:r>
                    <m:rPr>
                      <m:sty m:val="p"/>
                    </m:rPr>
                    <w:rPr>
                      <w:rFonts w:ascii="Cambria Math" w:hAnsi="Cambria Math"/>
                    </w:rPr>
                    <m:t>=0</m:t>
                  </m:r>
                  <m:ctrlPr>
                    <w:rPr>
                      <w:rFonts w:ascii="Cambria Math" w:hAnsi="Cambria Math"/>
                      <w:iCs/>
                    </w:rPr>
                  </m:ctrlPr>
                </m:sub>
                <m:sup>
                  <m:r>
                    <w:rPr>
                      <w:rFonts w:ascii="Cambria Math" w:hAnsi="Cambria Math"/>
                    </w:rPr>
                    <m:t>J</m:t>
                  </m:r>
                  <m:r>
                    <m:rPr>
                      <m:sty m:val="p"/>
                    </m:rPr>
                    <w:rPr>
                      <w:rFonts w:ascii="Cambria Math" w:hAnsi="Cambria Math"/>
                    </w:rPr>
                    <m:t>-1</m:t>
                  </m:r>
                  <m:ctrlPr>
                    <w:rPr>
                      <w:rFonts w:ascii="Cambria Math" w:hAnsi="Cambria Math"/>
                      <w:iCs/>
                    </w:rPr>
                  </m:ctrlPr>
                </m:sup>
                <m:e>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ctrlPr>
                            <w:rPr>
                              <w:rFonts w:ascii="Cambria Math" w:hAnsi="Cambria Math"/>
                              <w:lang w:eastAsia="ko-KR"/>
                            </w:rPr>
                          </m:ctrlPr>
                        </m:sub>
                        <m:sup>
                          <m:r>
                            <w:rPr>
                              <w:rFonts w:ascii="Cambria Math" w:hAnsi="Cambria Math"/>
                              <w:lang w:eastAsia="ko-KR"/>
                            </w:rPr>
                            <m:t>M</m:t>
                          </m:r>
                          <m:r>
                            <m:rPr>
                              <m:sty m:val="p"/>
                            </m:rPr>
                            <w:rPr>
                              <w:rFonts w:ascii="Cambria Math" w:hAnsi="Cambria Math"/>
                              <w:lang w:eastAsia="ko-KR"/>
                            </w:rPr>
                            <m:t>-1</m:t>
                          </m:r>
                          <m:ctrlPr>
                            <w:rPr>
                              <w:rFonts w:ascii="Cambria Math" w:hAnsi="Cambria Math"/>
                              <w:lang w:eastAsia="ko-KR"/>
                            </w:rPr>
                          </m:ctrlPr>
                        </m:sup>
                        <m:e>
                          <m:sSub>
                            <m:sSubPr>
                              <m:ctrlPr>
                                <w:rPr>
                                  <w:rFonts w:ascii="Cambria Math" w:hAnsi="Cambria Math"/>
                                  <w:lang w:eastAsia="ko-KR"/>
                                </w:rPr>
                              </m:ctrlPr>
                            </m:sSubPr>
                            <m:e>
                              <m:r>
                                <w:rPr>
                                  <w:rFonts w:ascii="Cambria Math" w:hAnsi="Cambria Math"/>
                                  <w:lang w:eastAsia="ko-KR"/>
                                </w:rPr>
                                <m:t>V</m:t>
                              </m:r>
                              <m:ctrlPr>
                                <w:rPr>
                                  <w:rFonts w:ascii="Cambria Math" w:hAnsi="Cambria Math"/>
                                  <w:lang w:eastAsia="ko-KR"/>
                                </w:rPr>
                              </m:ctrlP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ctrlPr>
                                <w:rPr>
                                  <w:rFonts w:ascii="Cambria Math" w:hAnsi="Cambria Math"/>
                                  <w:lang w:eastAsia="ko-KR"/>
                                </w:rPr>
                              </m:ctrlPr>
                            </m:sub>
                          </m:sSub>
                          <m:ctrlPr>
                            <w:rPr>
                              <w:rFonts w:ascii="Cambria Math" w:hAnsi="Cambria Math"/>
                              <w:lang w:eastAsia="ko-KR"/>
                            </w:rPr>
                          </m:ctrlPr>
                        </m:e>
                      </m:nary>
                      <m:ctrlPr>
                        <w:rPr>
                          <w:rFonts w:ascii="Cambria Math" w:hAnsi="Cambria Math"/>
                          <w:lang w:eastAsia="ko-KR"/>
                        </w:rPr>
                      </m:ctrlPr>
                    </m:num>
                    <m:den>
                      <m:sSubSup>
                        <m:sSubSupPr>
                          <m:ctrlPr>
                            <w:rPr>
                              <w:rFonts w:ascii="Cambria Math" w:hAnsi="Cambria Math"/>
                              <w:lang w:eastAsia="ko-KR"/>
                            </w:rPr>
                          </m:ctrlPr>
                        </m:sSubSupPr>
                        <m:e>
                          <m:r>
                            <w:rPr>
                              <w:rFonts w:ascii="Cambria Math" w:hAnsi="Cambria Math"/>
                              <w:lang w:eastAsia="ko-KR"/>
                            </w:rPr>
                            <m:t>T</m:t>
                          </m:r>
                          <m:ctrlPr>
                            <w:rPr>
                              <w:rFonts w:ascii="Cambria Math" w:hAnsi="Cambria Math"/>
                              <w:lang w:eastAsia="ko-KR"/>
                            </w:rPr>
                          </m:ctrlPr>
                        </m:e>
                        <m:sub>
                          <m:r>
                            <w:rPr>
                              <w:rFonts w:ascii="Cambria Math" w:hAnsi="Cambria Math"/>
                              <w:lang w:eastAsia="ko-KR"/>
                            </w:rPr>
                            <m:t>slot</m:t>
                          </m:r>
                          <m:ctrlPr>
                            <w:rPr>
                              <w:rFonts w:ascii="Cambria Math" w:hAnsi="Cambria Math"/>
                              <w:lang w:eastAsia="ko-KR"/>
                            </w:rPr>
                          </m:ctrlPr>
                        </m:sub>
                        <m:sup>
                          <m:r>
                            <w:rPr>
                              <w:rFonts w:ascii="Cambria Math" w:hAnsi="Cambria Math"/>
                              <w:lang w:eastAsia="ko-KR"/>
                            </w:rPr>
                            <m:t>μ</m:t>
                          </m:r>
                          <m:r>
                            <m:rPr>
                              <m:sty m:val="p"/>
                            </m:rPr>
                            <w:rPr>
                              <w:rFonts w:ascii="Cambria Math" w:hAnsi="Cambria Math"/>
                              <w:lang w:eastAsia="ko-KR"/>
                            </w:rPr>
                            <m:t>(</m:t>
                          </m:r>
                          <m:r>
                            <w:rPr>
                              <w:rFonts w:ascii="Cambria Math" w:hAnsi="Cambria Math"/>
                              <w:lang w:eastAsia="ko-KR"/>
                            </w:rPr>
                            <m:t>j</m:t>
                          </m:r>
                          <m:r>
                            <m:rPr>
                              <m:sty m:val="p"/>
                            </m:rPr>
                            <w:rPr>
                              <w:rFonts w:ascii="Cambria Math" w:hAnsi="Cambria Math"/>
                              <w:lang w:eastAsia="ko-KR"/>
                            </w:rPr>
                            <m:t>)</m:t>
                          </m:r>
                          <m:ctrlPr>
                            <w:rPr>
                              <w:rFonts w:ascii="Cambria Math" w:hAnsi="Cambria Math"/>
                              <w:lang w:eastAsia="ko-KR"/>
                            </w:rPr>
                          </m:ctrlPr>
                        </m:sup>
                      </m:sSubSup>
                      <m:ctrlPr>
                        <w:rPr>
                          <w:rFonts w:ascii="Cambria Math" w:hAnsi="Cambria Math"/>
                          <w:lang w:eastAsia="ko-KR"/>
                        </w:rPr>
                      </m:ctrlPr>
                    </m:den>
                  </m:f>
                  <m:ctrlPr>
                    <w:rPr>
                      <w:rFonts w:ascii="Cambria Math" w:hAnsi="Cambria Math"/>
                      <w:iCs/>
                    </w:rPr>
                  </m:ctrlPr>
                </m:e>
              </m:nary>
              <m:r>
                <m:rPr>
                  <m:sty m:val="p"/>
                </m:rPr>
                <w:rPr>
                  <w:rFonts w:ascii="Cambria Math" w:hAnsi="Cambria Math"/>
                </w:rPr>
                <m:t>≤</m:t>
              </m:r>
              <m:r>
                <w:rPr>
                  <w:rFonts w:ascii="Cambria Math" w:hAnsi="Cambria Math"/>
                </w:rPr>
                <m:t>DataRate</m:t>
              </m:r>
            </m:oMath>
            <w:r>
              <w:t>,</w:t>
            </w:r>
          </w:p>
          <w:p>
            <w:pPr>
              <w:spacing w:before="120" w:line="280" w:lineRule="atLeast"/>
              <w:rPr>
                <w:color w:val="000000" w:themeColor="text1"/>
                <w:lang w:val="sv-SE" w:eastAsia="ko-KR"/>
                <w14:textFill>
                  <w14:solidFill>
                    <w14:schemeClr w14:val="tx1"/>
                  </w14:solidFill>
                </w14:textFill>
              </w:rPr>
            </w:pPr>
            <w:r>
              <w:rPr>
                <w:color w:val="000000" w:themeColor="text1"/>
                <w14:textFill>
                  <w14:solidFill>
                    <w14:schemeClr w14:val="tx1"/>
                  </w14:solidFill>
                </w14:textFill>
              </w:rPr>
              <w:t>where</w:t>
            </w:r>
          </w:p>
          <w:p>
            <w:pPr>
              <w:pStyle w:val="87"/>
              <w:spacing w:before="120" w:line="280" w:lineRule="atLeast"/>
            </w:pPr>
            <w:r>
              <w:rPr>
                <w:i/>
              </w:rPr>
              <w:t>-</w:t>
            </w:r>
            <w:r>
              <w:rPr>
                <w:i/>
              </w:rPr>
              <w:tab/>
            </w:r>
            <w:r>
              <w:rPr>
                <w:i/>
              </w:rPr>
              <w:t>J</w:t>
            </w:r>
            <w:r>
              <w:t xml:space="preserve"> is the number of </w:t>
            </w:r>
            <w:r>
              <w:rPr>
                <w:lang w:eastAsia="ko-KR"/>
              </w:rPr>
              <w:t xml:space="preserve">configured </w:t>
            </w:r>
            <w:r>
              <w:t>serving cells belong to a frequency range</w:t>
            </w:r>
          </w:p>
          <w:p>
            <w:pPr>
              <w:pStyle w:val="88"/>
              <w:spacing w:before="120" w:line="280" w:lineRule="atLeast"/>
            </w:pPr>
            <w:r>
              <w:t>-</w:t>
            </w:r>
            <w:r>
              <w:tab/>
            </w:r>
            <w:r>
              <w:t xml:space="preserve">for the </w:t>
            </w:r>
            <w:r>
              <w:rPr>
                <w:i/>
              </w:rPr>
              <w:t>j-th</w:t>
            </w:r>
            <w:r>
              <w:t xml:space="preserve"> serving cell,</w:t>
            </w:r>
          </w:p>
          <w:p>
            <w:pPr>
              <w:pStyle w:val="89"/>
              <w:spacing w:before="120" w:line="280" w:lineRule="atLeast"/>
              <w:rPr>
                <w:lang w:val="en-US"/>
              </w:rPr>
            </w:pPr>
            <w:r>
              <w:rPr>
                <w:i/>
                <w:lang w:eastAsia="ko-KR"/>
              </w:rPr>
              <w:t>-</w:t>
            </w:r>
            <w:r>
              <w:rPr>
                <w:i/>
                <w:lang w:eastAsia="ko-KR"/>
              </w:rPr>
              <w:tab/>
            </w:r>
            <w:r>
              <w:rPr>
                <w:i/>
                <w:lang w:eastAsia="ko-KR"/>
              </w:rPr>
              <w:t>M</w:t>
            </w:r>
            <w:r>
              <w:rPr>
                <w:lang w:eastAsia="ko-KR"/>
              </w:rPr>
              <w:t xml:space="preserve"> is the number of TB(s) transmitted in slot-</w:t>
            </w:r>
            <w:r>
              <w:rPr>
                <w:i/>
              </w:rPr>
              <w:t>s</w:t>
            </w:r>
            <w:r>
              <w:rPr>
                <w:i/>
                <w:vertAlign w:val="subscript"/>
              </w:rPr>
              <w:t>j</w:t>
            </w:r>
            <w:r>
              <w:rPr>
                <w:rFonts w:hint="eastAsia"/>
                <w:lang w:eastAsia="ko-KR"/>
              </w:rPr>
              <w:t>.</w:t>
            </w:r>
            <w:r>
              <w:rPr>
                <w:lang w:val="en-US" w:eastAsia="ko-KR"/>
              </w:rPr>
              <w:t xml:space="preserve"> </w:t>
            </w:r>
            <w:r>
              <w:rPr>
                <w:lang w:eastAsia="ko-KR"/>
              </w:rPr>
              <w:t>For PUSCH repetition Type B, each actual repetition is counted separately.</w:t>
            </w:r>
          </w:p>
          <w:p>
            <w:pPr>
              <w:pStyle w:val="89"/>
              <w:spacing w:before="120" w:line="280" w:lineRule="atLeast"/>
            </w:pPr>
            <w:r>
              <w:rPr>
                <w:i/>
              </w:rPr>
              <w:t>-</w:t>
            </w:r>
            <w:r>
              <w:rPr>
                <w:i/>
              </w:rPr>
              <w:tab/>
            </w:r>
            <w:r>
              <w:rPr>
                <w:i/>
              </w:rPr>
              <w:t>T</w:t>
            </w:r>
            <w:r>
              <w:rPr>
                <w:i/>
                <w:vertAlign w:val="subscript"/>
              </w:rPr>
              <w:t>slot</w:t>
            </w:r>
            <w:r>
              <w:rPr>
                <w:i/>
                <w:vertAlign w:val="superscript"/>
              </w:rPr>
              <w:sym w:font="Symbol" w:char="F06D"/>
            </w:r>
            <w:r>
              <w:rPr>
                <w:i/>
                <w:vertAlign w:val="superscript"/>
              </w:rPr>
              <w:t>(j)</w:t>
            </w:r>
            <w:r>
              <w:t xml:space="preserve"> =10</w:t>
            </w:r>
            <w:r>
              <w:rPr>
                <w:vertAlign w:val="superscript"/>
              </w:rPr>
              <w:t>-3</w:t>
            </w:r>
            <w:r>
              <w:t>/2</w:t>
            </w:r>
            <w:r>
              <w:rPr>
                <w:i/>
                <w:vertAlign w:val="superscript"/>
              </w:rPr>
              <w:sym w:font="Symbol" w:char="F06D"/>
            </w:r>
            <w:r>
              <w:rPr>
                <w:i/>
                <w:vertAlign w:val="superscript"/>
              </w:rPr>
              <w:t>(j</w:t>
            </w:r>
            <w:r>
              <w:rPr>
                <w:vertAlign w:val="superscript"/>
              </w:rPr>
              <w:t>)</w:t>
            </w:r>
            <w:r>
              <w:t xml:space="preserve">, where </w:t>
            </w:r>
            <w:r>
              <w:rPr>
                <w:i/>
              </w:rPr>
              <w:sym w:font="Symbol" w:char="F06D"/>
            </w:r>
            <w:r>
              <w:rPr>
                <w:i/>
              </w:rPr>
              <w:t>(j)</w:t>
            </w:r>
            <w:r>
              <w:t xml:space="preserve"> is the numerology for PUSCH(s) in slot </w:t>
            </w:r>
            <w:r>
              <w:rPr>
                <w:i/>
              </w:rPr>
              <w:t>s</w:t>
            </w:r>
            <w:r>
              <w:rPr>
                <w:i/>
                <w:vertAlign w:val="subscript"/>
              </w:rPr>
              <w:t>j</w:t>
            </w:r>
            <w:r>
              <w:t xml:space="preserve"> of the </w:t>
            </w:r>
            <w:r>
              <w:rPr>
                <w:i/>
              </w:rPr>
              <w:t>j</w:t>
            </w:r>
            <w:r>
              <w:t xml:space="preserve">-th </w:t>
            </w:r>
            <w:r>
              <w:rPr>
                <w:lang w:eastAsia="ko-KR"/>
              </w:rPr>
              <w:t>serving cell</w:t>
            </w:r>
            <w:r>
              <w:t>.</w:t>
            </w:r>
            <w:r>
              <w:rPr>
                <w:rFonts w:eastAsia="BatangChe"/>
                <w:lang w:eastAsia="ko-KR"/>
              </w:rPr>
              <w:t xml:space="preserve"> </w:t>
            </w:r>
          </w:p>
          <w:p>
            <w:pPr>
              <w:pStyle w:val="89"/>
              <w:spacing w:before="120" w:line="280" w:lineRule="atLeast"/>
              <w:rPr>
                <w:rFonts w:hint="default"/>
                <w:lang w:val="en-US"/>
              </w:rPr>
            </w:pPr>
            <w:r>
              <w:rPr>
                <w:lang w:eastAsia="ko-KR"/>
              </w:rPr>
              <w:t>-</w:t>
            </w:r>
            <w:r>
              <w:rPr>
                <w:lang w:eastAsia="ko-KR"/>
              </w:rPr>
              <w:tab/>
            </w:r>
            <w:r>
              <w:rPr>
                <w:lang w:eastAsia="ko-KR"/>
              </w:rPr>
              <w:t xml:space="preserve">for the </w:t>
            </w:r>
            <w:r>
              <w:rPr>
                <w:i/>
                <w:lang w:eastAsia="ko-KR"/>
              </w:rPr>
              <w:t>m</w:t>
            </w:r>
            <w:r>
              <w:t xml:space="preserve">-th TB, </w:t>
            </w:r>
            <m:oMath>
              <m:sSub>
                <m:sSubPr>
                  <m:ctrlPr>
                    <w:rPr>
                      <w:rFonts w:ascii="Cambria Math" w:hAnsi="Cambria Math"/>
                      <w:i/>
                      <w:strike/>
                      <w:dstrike w:val="0"/>
                      <w:color w:val="FF0000"/>
                      <w:lang w:eastAsia="ko-KR"/>
                    </w:rPr>
                  </m:ctrlPr>
                </m:sSubPr>
                <m:e>
                  <m:r>
                    <w:rPr>
                      <w:rFonts w:ascii="Cambria Math" w:hAnsi="Cambria Math"/>
                      <w:strike/>
                      <w:dstrike w:val="0"/>
                      <w:color w:val="FF0000"/>
                      <w:lang w:eastAsia="ko-KR"/>
                    </w:rPr>
                    <m:t>V</m:t>
                  </m:r>
                  <m:ctrlPr>
                    <w:rPr>
                      <w:rFonts w:ascii="Cambria Math" w:hAnsi="Cambria Math"/>
                      <w:i/>
                      <w:strike/>
                      <w:dstrike w:val="0"/>
                      <w:color w:val="FF0000"/>
                      <w:lang w:eastAsia="ko-KR"/>
                    </w:rPr>
                  </m:ctrlPr>
                </m:e>
                <m:sub>
                  <m:r>
                    <w:rPr>
                      <w:rFonts w:ascii="Cambria Math" w:hAnsi="Cambria Math"/>
                      <w:strike/>
                      <w:dstrike w:val="0"/>
                      <w:color w:val="FF0000"/>
                      <w:lang w:eastAsia="ko-KR"/>
                    </w:rPr>
                    <m:t>j,m</m:t>
                  </m:r>
                  <m:ctrlPr>
                    <w:rPr>
                      <w:rFonts w:ascii="Cambria Math" w:hAnsi="Cambria Math"/>
                      <w:i/>
                      <w:strike/>
                      <w:dstrike w:val="0"/>
                      <w:color w:val="FF0000"/>
                      <w:lang w:eastAsia="ko-KR"/>
                    </w:rPr>
                  </m:ctrlPr>
                </m:sub>
              </m:sSub>
              <m:r>
                <w:rPr>
                  <w:rFonts w:ascii="Cambria Math" w:hAnsi="Cambria Math"/>
                  <w:strike/>
                  <w:dstrike w:val="0"/>
                  <w:color w:val="FF0000"/>
                  <w:lang w:eastAsia="ko-KR"/>
                </w:rPr>
                <m:t>=C'∙</m:t>
              </m:r>
              <m:d>
                <m:dPr>
                  <m:begChr m:val="⌊"/>
                  <m:endChr m:val="⌋"/>
                  <m:ctrlPr>
                    <w:rPr>
                      <w:rFonts w:ascii="Cambria Math" w:hAnsi="Cambria Math"/>
                      <w:i/>
                      <w:iCs/>
                      <w:strike/>
                      <w:dstrike w:val="0"/>
                      <w:color w:val="FF0000"/>
                    </w:rPr>
                  </m:ctrlPr>
                </m:dPr>
                <m:e>
                  <m:f>
                    <m:fPr>
                      <m:ctrlPr>
                        <w:rPr>
                          <w:rFonts w:ascii="Cambria Math" w:hAnsi="Cambria Math"/>
                          <w:i/>
                          <w:iCs/>
                          <w:strike/>
                          <w:dstrike w:val="0"/>
                          <w:color w:val="FF0000"/>
                        </w:rPr>
                      </m:ctrlPr>
                    </m:fPr>
                    <m:num>
                      <m:r>
                        <w:rPr>
                          <w:rFonts w:ascii="Cambria Math" w:hAnsi="Cambria Math"/>
                          <w:strike/>
                          <w:dstrike w:val="0"/>
                          <w:color w:val="FF0000"/>
                        </w:rPr>
                        <m:t>A</m:t>
                      </m:r>
                      <m:ctrlPr>
                        <w:rPr>
                          <w:rFonts w:ascii="Cambria Math" w:hAnsi="Cambria Math"/>
                          <w:i/>
                          <w:iCs/>
                          <w:strike/>
                          <w:dstrike w:val="0"/>
                          <w:color w:val="FF0000"/>
                        </w:rPr>
                      </m:ctrlPr>
                    </m:num>
                    <m:den>
                      <m:r>
                        <w:rPr>
                          <w:rFonts w:ascii="Cambria Math" w:hAnsi="Cambria Math"/>
                          <w:strike/>
                          <w:dstrike w:val="0"/>
                          <w:color w:val="FF0000"/>
                        </w:rPr>
                        <m:t>C</m:t>
                      </m:r>
                      <m:ctrlPr>
                        <w:rPr>
                          <w:rFonts w:ascii="Cambria Math" w:hAnsi="Cambria Math"/>
                          <w:i/>
                          <w:iCs/>
                          <w:strike/>
                          <w:dstrike w:val="0"/>
                          <w:color w:val="FF0000"/>
                        </w:rPr>
                      </m:ctrlPr>
                    </m:den>
                  </m:f>
                  <m:ctrlPr>
                    <w:rPr>
                      <w:rFonts w:ascii="Cambria Math" w:hAnsi="Cambria Math"/>
                      <w:i/>
                      <w:iCs/>
                      <w:strike/>
                      <w:dstrike w:val="0"/>
                      <w:color w:val="FF0000"/>
                    </w:rPr>
                  </m:ctrlPr>
                </m:e>
              </m:d>
            </m:oMath>
            <w:r>
              <w:rPr>
                <w:rFonts w:hint="default" w:ascii="Cambria Math" w:hAnsi="Cambria Math"/>
                <w:i w:val="0"/>
                <w:iCs/>
                <w:color w:val="FF0000"/>
                <w:lang w:val="en-US"/>
              </w:rPr>
              <w:t xml:space="preserve"> </w:t>
            </w:r>
            <m:oMath>
              <m:sSub>
                <m:sSubPr>
                  <m:ctrlPr>
                    <w:rPr>
                      <w:rFonts w:ascii="Cambria Math" w:hAnsi="Cambria Math"/>
                      <w:i/>
                      <w:color w:val="FF0000"/>
                      <w:u w:val="single"/>
                      <w:lang w:eastAsia="ko-KR"/>
                    </w:rPr>
                  </m:ctrlPr>
                </m:sSubPr>
                <m:e>
                  <m:r>
                    <w:rPr>
                      <w:rFonts w:ascii="Cambria Math" w:hAnsi="Cambria Math"/>
                      <w:color w:val="FF0000"/>
                      <w:u w:val="single"/>
                      <w:lang w:eastAsia="ko-KR"/>
                    </w:rPr>
                    <m:t>V</m:t>
                  </m:r>
                  <m:ctrlPr>
                    <w:rPr>
                      <w:rFonts w:ascii="Cambria Math" w:hAnsi="Cambria Math"/>
                      <w:i/>
                      <w:color w:val="FF0000"/>
                      <w:u w:val="single"/>
                      <w:lang w:eastAsia="ko-KR"/>
                    </w:rPr>
                  </m:ctrlPr>
                </m:e>
                <m:sub>
                  <m:r>
                    <w:rPr>
                      <w:rFonts w:ascii="Cambria Math" w:hAnsi="Cambria Math"/>
                      <w:color w:val="FF0000"/>
                      <w:u w:val="single"/>
                      <w:lang w:eastAsia="ko-KR"/>
                    </w:rPr>
                    <m:t>j,m</m:t>
                  </m:r>
                  <m:ctrlPr>
                    <w:rPr>
                      <w:rFonts w:ascii="Cambria Math" w:hAnsi="Cambria Math"/>
                      <w:i/>
                      <w:color w:val="FF0000"/>
                      <w:u w:val="single"/>
                      <w:lang w:eastAsia="ko-KR"/>
                    </w:rPr>
                  </m:ctrlPr>
                </m:sub>
              </m:sSub>
              <m:r>
                <w:rPr>
                  <w:rFonts w:ascii="Cambria Math" w:hAnsi="Cambria Math"/>
                  <w:color w:val="FF0000"/>
                  <w:u w:val="single"/>
                  <w:lang w:eastAsia="ko-KR"/>
                </w:rPr>
                <m:t>=C'∙</m:t>
              </m:r>
              <m:d>
                <m:dPr>
                  <m:begChr m:val="⌊"/>
                  <m:endChr m:val="⌋"/>
                  <m:ctrlPr>
                    <w:rPr>
                      <w:rFonts w:ascii="Cambria Math" w:hAnsi="Cambria Math"/>
                      <w:i/>
                      <w:iCs/>
                      <w:color w:val="FF0000"/>
                      <w:u w:val="single"/>
                    </w:rPr>
                  </m:ctrlPr>
                </m:dPr>
                <m:e>
                  <m:f>
                    <m:fPr>
                      <m:ctrlPr>
                        <w:rPr>
                          <w:rFonts w:ascii="Cambria Math" w:hAnsi="Cambria Math"/>
                          <w:i/>
                          <w:iCs/>
                          <w:color w:val="FF0000"/>
                          <w:u w:val="single"/>
                        </w:rPr>
                      </m:ctrlPr>
                    </m:fPr>
                    <m:num>
                      <m:r>
                        <w:rPr>
                          <w:rFonts w:ascii="Cambria Math" w:hAnsi="Cambria Math"/>
                          <w:color w:val="FF0000"/>
                          <w:u w:val="single"/>
                        </w:rPr>
                        <m:t>A</m:t>
                      </m:r>
                      <m:ctrlPr>
                        <w:rPr>
                          <w:rFonts w:ascii="Cambria Math" w:hAnsi="Cambria Math"/>
                          <w:i/>
                          <w:iCs/>
                          <w:color w:val="FF0000"/>
                          <w:u w:val="single"/>
                        </w:rPr>
                      </m:ctrlPr>
                    </m:num>
                    <m:den>
                      <m:r>
                        <w:rPr>
                          <w:rFonts w:ascii="Cambria Math" w:hAnsi="Cambria Math"/>
                          <w:color w:val="FF0000"/>
                          <w:u w:val="single"/>
                        </w:rPr>
                        <m:t>C</m:t>
                      </m:r>
                      <m:ctrlPr>
                        <w:rPr>
                          <w:rFonts w:ascii="Cambria Math" w:hAnsi="Cambria Math"/>
                          <w:i/>
                          <w:iCs/>
                          <w:color w:val="FF0000"/>
                          <w:u w:val="single"/>
                        </w:rPr>
                      </m:ctrlPr>
                    </m:den>
                  </m:f>
                  <m:ctrlPr>
                    <w:rPr>
                      <w:rFonts w:ascii="Cambria Math" w:hAnsi="Cambria Math"/>
                      <w:i/>
                      <w:iCs/>
                      <w:color w:val="FF0000"/>
                      <w:u w:val="single"/>
                    </w:rPr>
                  </m:ctrlPr>
                </m:e>
              </m:d>
              <m:r>
                <w:rPr>
                  <w:rFonts w:ascii="Cambria Math" w:hAnsi="Cambria Math"/>
                  <w:color w:val="FF0000"/>
                  <w:u w:val="single"/>
                </w:rPr>
                <m:t>/N</m:t>
              </m:r>
            </m:oMath>
          </w:p>
          <w:p>
            <w:pPr>
              <w:pStyle w:val="90"/>
              <w:spacing w:before="120" w:line="280" w:lineRule="atLeast"/>
            </w:pPr>
            <w:r>
              <w:rPr>
                <w:i/>
              </w:rPr>
              <w:t>-</w:t>
            </w:r>
            <w:r>
              <w:rPr>
                <w:i/>
              </w:rPr>
              <w:tab/>
            </w:r>
            <w:r>
              <w:rPr>
                <w:i/>
              </w:rPr>
              <w:t>A</w:t>
            </w:r>
            <w:r>
              <w:t xml:space="preserve"> is the number of bits in the transport block as defined in Clause 6.2.1 [5, TS 38.212] </w:t>
            </w:r>
          </w:p>
          <w:p>
            <w:pPr>
              <w:pStyle w:val="90"/>
              <w:spacing w:before="120" w:line="280" w:lineRule="atLeast"/>
              <w:rPr>
                <w:lang w:eastAsia="ko-KR"/>
              </w:rPr>
            </w:pPr>
            <w:r>
              <w:rPr>
                <w:i/>
              </w:rPr>
              <w:t>-</w:t>
            </w:r>
            <w:r>
              <w:rPr>
                <w:i/>
              </w:rPr>
              <w:tab/>
            </w:r>
            <w:r>
              <w:rPr>
                <w:i/>
              </w:rPr>
              <w:t>C</w:t>
            </w:r>
            <w:r>
              <w:t xml:space="preserve"> </w:t>
            </w:r>
            <w:r>
              <w:rPr>
                <w:iCs/>
              </w:rPr>
              <w:t xml:space="preserve">is the total number of code blocks for the transport block </w:t>
            </w:r>
            <w:r>
              <w:t>defined in Clause 5.2.2 [5, TS 38.212].</w:t>
            </w:r>
            <m:oMath>
              <m:r>
                <w:rPr>
                  <w:rFonts w:ascii="Cambria Math" w:hAnsi="Cambria Math"/>
                  <w:lang w:eastAsia="ko-KR"/>
                </w:rPr>
                <m:t xml:space="preserve"> </m:t>
              </m:r>
            </m:oMath>
          </w:p>
          <w:p>
            <w:pPr>
              <w:pStyle w:val="90"/>
              <w:spacing w:before="120" w:line="280" w:lineRule="atLeast"/>
            </w:pPr>
            <w:r>
              <w:rPr>
                <w:lang w:eastAsia="ko-KR"/>
              </w:rPr>
              <w:t>-</w:t>
            </w:r>
            <w:r>
              <w:rPr>
                <w:lang w:eastAsia="ko-KR"/>
              </w:rPr>
              <w:tab/>
            </w:r>
            <m:oMath>
              <m:r>
                <w:rPr>
                  <w:rFonts w:ascii="Cambria Math" w:hAnsi="Cambria Math"/>
                  <w:lang w:eastAsia="ko-KR"/>
                </w:rPr>
                <m:t>C'</m:t>
              </m:r>
            </m:oMath>
            <w:r>
              <w:t xml:space="preserve">is the number of scheduled code blocks for the transport block as defined in Clause 5.4.2.1 [5,38.212] </w:t>
            </w:r>
          </w:p>
          <w:p>
            <w:pPr>
              <w:pStyle w:val="90"/>
              <w:spacing w:before="120" w:line="280" w:lineRule="atLeast"/>
              <w:rPr>
                <w:rFonts w:hint="default"/>
                <w:i w:val="0"/>
                <w:iCs w:val="0"/>
                <w:color w:val="FF0000"/>
                <w:u w:val="single"/>
                <w:lang w:val="en-US"/>
              </w:rPr>
            </w:pPr>
            <w:r>
              <w:rPr>
                <w:rFonts w:hint="default"/>
                <w:i w:val="0"/>
                <w:iCs w:val="0"/>
                <w:color w:val="FF0000"/>
                <w:u w:val="single"/>
                <w:lang w:val="en-US"/>
              </w:rPr>
              <w:t>-</w:t>
            </w:r>
            <w:r>
              <w:rPr>
                <w:i w:val="0"/>
                <w:iCs w:val="0"/>
                <w:color w:val="FF0000"/>
                <w:u w:val="single"/>
                <w:lang w:eastAsia="ko-KR"/>
              </w:rPr>
              <w:tab/>
            </w:r>
            <w:r>
              <w:rPr>
                <w:i w:val="0"/>
                <w:iCs w:val="0"/>
                <w:color w:val="FF0000"/>
                <w:u w:val="single"/>
              </w:rPr>
              <w:t>For TB processing over multiple slots</w:t>
            </w:r>
            <w:r>
              <w:rPr>
                <w:rFonts w:hint="eastAsia"/>
                <w:i w:val="0"/>
                <w:iCs w:val="0"/>
                <w:color w:val="FF0000"/>
                <w:u w:val="single"/>
                <w:lang w:val="en-US" w:eastAsia="zh-CN"/>
              </w:rPr>
              <w:t xml:space="preserve">, </w:t>
            </w:r>
            <w:r>
              <w:rPr>
                <w:i/>
                <w:iCs/>
                <w:color w:val="FF0000"/>
                <w:u w:val="single"/>
                <w:lang w:val="en-US"/>
              </w:rPr>
              <w:t>N</w:t>
            </w:r>
            <w:r>
              <w:rPr>
                <w:i w:val="0"/>
                <w:iCs w:val="0"/>
                <w:color w:val="FF0000"/>
                <w:u w:val="single"/>
                <w:lang w:val="en-US"/>
              </w:rPr>
              <w:t xml:space="preserve"> is indicated by </w:t>
            </w:r>
            <w:r>
              <w:rPr>
                <w:i/>
                <w:iCs/>
                <w:color w:val="FF0000"/>
                <w:u w:val="single"/>
                <w:lang w:val="en-US"/>
              </w:rPr>
              <w:t>numberOfSlotsTBoMS</w:t>
            </w:r>
            <w:r>
              <w:rPr>
                <w:rFonts w:hint="eastAsia"/>
                <w:i w:val="0"/>
                <w:iCs w:val="0"/>
                <w:color w:val="FF0000"/>
                <w:u w:val="single"/>
                <w:lang w:val="en-US" w:eastAsia="zh-CN"/>
              </w:rPr>
              <w:t>. Otherwise,</w:t>
            </w:r>
            <w:r>
              <w:rPr>
                <w:rFonts w:hint="default"/>
                <w:i w:val="0"/>
                <w:iCs w:val="0"/>
                <w:color w:val="FF0000"/>
                <w:u w:val="single"/>
                <w:lang w:val="en-US" w:eastAsia="ko-KR"/>
              </w:rPr>
              <w:t xml:space="preserve"> </w:t>
            </w:r>
            <m:oMath>
              <m:r>
                <m:rPr>
                  <m:sty m:val="p"/>
                </m:rPr>
                <w:rPr>
                  <w:rFonts w:ascii="Cambria Math" w:hAnsi="Cambria Math"/>
                  <w:color w:val="FF0000"/>
                  <w:u w:val="single"/>
                </w:rPr>
                <m:t>N</m:t>
              </m:r>
            </m:oMath>
            <w:r>
              <w:rPr>
                <w:rFonts w:hint="default"/>
                <w:i w:val="0"/>
                <w:iCs w:val="0"/>
                <w:color w:val="FF0000"/>
                <w:u w:val="single"/>
                <w:lang w:val="en-US" w:eastAsia="ko-KR"/>
              </w:rPr>
              <w:t>=1.</w:t>
            </w:r>
          </w:p>
          <w:p>
            <w:pPr>
              <w:pStyle w:val="87"/>
              <w:spacing w:before="120" w:line="280" w:lineRule="atLeast"/>
              <w:rPr>
                <w:rFonts w:eastAsiaTheme="minorEastAsia"/>
              </w:rPr>
            </w:pPr>
            <w:r>
              <w:t>-</w:t>
            </w:r>
            <w:r>
              <w:tab/>
            </w:r>
            <m:oMath>
              <m:r>
                <w:rPr>
                  <w:rFonts w:ascii="Cambria Math" w:hAnsi="Cambria Math"/>
                </w:rPr>
                <m:t>DataRate</m:t>
              </m:r>
            </m:oMath>
            <w:r>
              <w:t xml:space="preserve"> </w:t>
            </w:r>
            <w:r>
              <w:rPr>
                <w:lang w:eastAsia="ko-KR"/>
              </w:rPr>
              <w:t>[Mbps]</w:t>
            </w:r>
            <w:r>
              <w:rPr>
                <w:rFonts w:hint="eastAsia"/>
                <w:lang w:eastAsia="ko-KR"/>
              </w:rPr>
              <w:t xml:space="preserve"> </w:t>
            </w:r>
            <w:r>
              <w:t xml:space="preserve">is computed </w:t>
            </w:r>
            <w:r>
              <w:rPr>
                <w:lang w:val="en-US"/>
              </w:rPr>
              <w:t>as the</w:t>
            </w:r>
            <w:r>
              <w:t xml:space="preserve"> maximum data rate </w:t>
            </w:r>
            <w:r>
              <w:rPr>
                <w:lang w:val="en-US"/>
              </w:rPr>
              <w:t>summed over all the carriers in the frequency range for any signaled band combination and feature set consistent with the configured servings cells, where the data rate value is</w:t>
            </w:r>
            <w:r>
              <w:t xml:space="preserve"> given by </w:t>
            </w:r>
            <w:r>
              <w:rPr>
                <w:lang w:val="en-US"/>
              </w:rPr>
              <w:t xml:space="preserve">the formula in </w:t>
            </w:r>
            <w:r>
              <w:t xml:space="preserve">Clause 4.1.2 in [13, TS 38.306], </w:t>
            </w:r>
            <w:r>
              <w:rPr>
                <w:lang w:eastAsia="ko-KR"/>
              </w:rPr>
              <w:t xml:space="preserve">including the scaling factor </w:t>
            </w:r>
            <w:r>
              <w:rPr>
                <w:i/>
                <w:lang w:eastAsia="ko-KR"/>
              </w:rPr>
              <w:t>f(i)</w:t>
            </w:r>
            <w:r>
              <w:rPr>
                <w:i/>
              </w:rPr>
              <w:t>.</w:t>
            </w:r>
          </w:p>
          <w:p>
            <w:pPr>
              <w:spacing w:before="120" w:line="280" w:lineRule="atLeast"/>
              <w:rPr>
                <w:lang w:eastAsia="zh-CN"/>
              </w:rPr>
            </w:pPr>
            <w:r>
              <w:rPr>
                <w:lang w:eastAsia="zh-CN"/>
              </w:rPr>
              <w:t xml:space="preserve">For a </w:t>
            </w:r>
            <w:r>
              <w:rPr>
                <w:i/>
                <w:lang w:eastAsia="zh-CN"/>
              </w:rPr>
              <w:t>j</w:t>
            </w:r>
            <w:r>
              <w:rPr>
                <w:lang w:eastAsia="zh-CN"/>
              </w:rPr>
              <w:t xml:space="preserve">-th serving cell, </w:t>
            </w:r>
            <w:r>
              <w:rPr>
                <w:lang w:eastAsia="ko-KR"/>
              </w:rPr>
              <w:t xml:space="preserve">if </w:t>
            </w:r>
            <w:r>
              <w:rPr>
                <w:color w:val="000000" w:themeColor="text1"/>
                <w:lang w:eastAsia="ko-KR"/>
                <w14:textFill>
                  <w14:solidFill>
                    <w14:schemeClr w14:val="tx1"/>
                  </w14:solidFill>
                </w14:textFill>
              </w:rPr>
              <w:t xml:space="preserve">higher layer parameter </w:t>
            </w:r>
            <w:r>
              <w:rPr>
                <w:i/>
                <w:color w:val="000000" w:themeColor="text1"/>
                <w:lang w:eastAsia="ko-KR"/>
                <w14:textFill>
                  <w14:solidFill>
                    <w14:schemeClr w14:val="tx1"/>
                  </w14:solidFill>
                </w14:textFill>
              </w:rPr>
              <w:t>processingType2Enabled</w:t>
            </w:r>
            <w:r>
              <w:rPr>
                <w:color w:val="000000" w:themeColor="text1"/>
                <w:lang w:eastAsia="ko-KR"/>
                <w14:textFill>
                  <w14:solidFill>
                    <w14:schemeClr w14:val="tx1"/>
                  </w14:solidFill>
                </w14:textFill>
              </w:rPr>
              <w:t xml:space="preserve"> of </w:t>
            </w:r>
            <w:r>
              <w:rPr>
                <w:i/>
                <w:color w:val="000000" w:themeColor="text1"/>
                <w:lang w:eastAsia="ko-KR"/>
                <w14:textFill>
                  <w14:solidFill>
                    <w14:schemeClr w14:val="tx1"/>
                  </w14:solidFill>
                </w14:textFill>
              </w:rPr>
              <w:t>PUSCH-ServingCellConfig</w:t>
            </w:r>
            <w:r>
              <w:rPr>
                <w:color w:val="000000" w:themeColor="text1"/>
                <w:lang w:eastAsia="ko-KR"/>
                <w14:textFill>
                  <w14:solidFill>
                    <w14:schemeClr w14:val="tx1"/>
                  </w14:solidFill>
                </w14:textFill>
              </w:rPr>
              <w:t xml:space="preserve"> is configured</w:t>
            </w:r>
            <w:r>
              <w:rPr>
                <w:lang w:eastAsia="ko-KR"/>
              </w:rPr>
              <w:t xml:space="preserve"> for the serving cell </w:t>
            </w:r>
            <w:r>
              <w:rPr>
                <w:color w:val="000000" w:themeColor="text1"/>
                <w:lang w:eastAsia="ko-KR"/>
                <w14:textFill>
                  <w14:solidFill>
                    <w14:schemeClr w14:val="tx1"/>
                  </w14:solidFill>
                </w14:textFill>
              </w:rPr>
              <w:t>and set to '</w:t>
            </w:r>
            <w:r>
              <w:rPr>
                <w:iCs/>
                <w:color w:val="000000" w:themeColor="text1"/>
                <w:lang w:eastAsia="ko-KR"/>
                <w14:textFill>
                  <w14:solidFill>
                    <w14:schemeClr w14:val="tx1"/>
                  </w14:solidFill>
                </w14:textFill>
              </w:rPr>
              <w:t>enable'</w:t>
            </w:r>
            <w:r>
              <w:rPr>
                <w:i/>
                <w:color w:val="000000" w:themeColor="text1"/>
                <w:lang w:eastAsia="ko-KR"/>
                <w14:textFill>
                  <w14:solidFill>
                    <w14:schemeClr w14:val="tx1"/>
                  </w14:solidFill>
                </w14:textFill>
              </w:rPr>
              <w:t>,</w:t>
            </w:r>
            <w:r>
              <w:rPr>
                <w:color w:val="000000" w:themeColor="text1"/>
                <w:lang w:eastAsia="ko-KR"/>
                <w14:textFill>
                  <w14:solidFill>
                    <w14:schemeClr w14:val="tx1"/>
                  </w14:solidFill>
                </w14:textFill>
              </w:rPr>
              <w:t xml:space="preserve"> </w:t>
            </w:r>
            <w:r>
              <w:rPr>
                <w:lang w:eastAsia="ko-KR"/>
              </w:rPr>
              <w:t xml:space="preserve">or </w:t>
            </w:r>
            <w:r>
              <w:rPr>
                <w:lang w:eastAsia="zh-CN"/>
              </w:rPr>
              <w:t xml:space="preserve">if at least one </w:t>
            </w:r>
            <w:r>
              <w:rPr>
                <w:i/>
                <w:lang w:eastAsia="zh-CN"/>
              </w:rPr>
              <w:t>I</w:t>
            </w:r>
            <w:r>
              <w:rPr>
                <w:i/>
                <w:vertAlign w:val="subscript"/>
                <w:lang w:eastAsia="zh-CN"/>
              </w:rPr>
              <w:t>MCS</w:t>
            </w:r>
            <w:r>
              <w:rPr>
                <w:i/>
                <w:lang w:eastAsia="zh-CN"/>
              </w:rPr>
              <w:t xml:space="preserve"> &gt; W</w:t>
            </w:r>
            <w:r>
              <w:rPr>
                <w:lang w:eastAsia="zh-CN"/>
              </w:rPr>
              <w:t xml:space="preserve"> for</w:t>
            </w:r>
            <w:r>
              <w:rPr>
                <w:u w:val="single"/>
                <w:lang w:eastAsia="zh-CN"/>
              </w:rPr>
              <w:t xml:space="preserve"> </w:t>
            </w:r>
            <w:r>
              <w:rPr>
                <w:lang w:eastAsia="zh-CN"/>
              </w:rPr>
              <w:t xml:space="preserve">a PUSCH, where </w:t>
            </w:r>
            <w:r>
              <w:rPr>
                <w:i/>
                <w:lang w:eastAsia="zh-CN"/>
              </w:rPr>
              <w:t>W</w:t>
            </w:r>
            <w:r>
              <w:rPr>
                <w:lang w:eastAsia="zh-CN"/>
              </w:rPr>
              <w:t xml:space="preserve"> = 28 for MCS tables 5.1.3.1-1 and 5.1.3.1-3, and </w:t>
            </w:r>
            <w:r>
              <w:rPr>
                <w:i/>
                <w:lang w:eastAsia="zh-CN"/>
              </w:rPr>
              <w:t>W</w:t>
            </w:r>
            <w:r>
              <w:rPr>
                <w:lang w:eastAsia="zh-CN"/>
              </w:rPr>
              <w:t xml:space="preserve"> = 27 for MCS tables 5.1.3.1-2, 6.1.4.1-1, and 6.1.4.1-2,</w:t>
            </w:r>
            <w:r>
              <w:t xml:space="preserve"> or if it is an actual repetition for PUSCH repetition Type B, </w:t>
            </w:r>
            <w:r>
              <w:rPr>
                <w:lang w:eastAsia="zh-CN"/>
              </w:rPr>
              <w:t>the UE is not required to handle PUSCH transmissions, if the following condition is not satisfied:</w:t>
            </w:r>
          </w:p>
          <w:p>
            <w:pPr>
              <w:pStyle w:val="74"/>
              <w:spacing w:before="120" w:line="280" w:lineRule="atLeast"/>
              <w:rPr>
                <w:lang w:val="sv-SE"/>
              </w:rPr>
            </w:pPr>
            <m:oMathPara>
              <m:oMathParaPr>
                <m:jc m:val="centerGroup"/>
              </m:oMathParaPr>
              <m:oMath>
                <m:f>
                  <m:fPr>
                    <m:ctrlPr>
                      <w:rPr>
                        <w:rFonts w:ascii="Cambria Math" w:hAnsi="Cambria Math"/>
                        <w:lang w:eastAsia="ko-KR"/>
                      </w:rPr>
                    </m:ctrlPr>
                  </m:fPr>
                  <m:num>
                    <m:nary>
                      <m:naryPr>
                        <m:chr m:val="∑"/>
                        <m:limLoc m:val="subSup"/>
                        <m:ctrlPr>
                          <w:rPr>
                            <w:rFonts w:ascii="Cambria Math" w:hAnsi="Cambria Math"/>
                            <w:lang w:eastAsia="ko-KR"/>
                          </w:rPr>
                        </m:ctrlPr>
                      </m:naryPr>
                      <m:sub>
                        <m:r>
                          <w:rPr>
                            <w:rFonts w:ascii="Cambria Math" w:hAnsi="Cambria Math"/>
                            <w:lang w:eastAsia="ko-KR"/>
                          </w:rPr>
                          <m:t>m</m:t>
                        </m:r>
                        <m:r>
                          <m:rPr>
                            <m:sty m:val="p"/>
                          </m:rPr>
                          <w:rPr>
                            <w:rFonts w:ascii="Cambria Math" w:hAnsi="Cambria Math"/>
                            <w:lang w:eastAsia="ko-KR"/>
                          </w:rPr>
                          <m:t>=0</m:t>
                        </m:r>
                        <m:ctrlPr>
                          <w:rPr>
                            <w:rFonts w:ascii="Cambria Math" w:hAnsi="Cambria Math"/>
                            <w:lang w:eastAsia="ko-KR"/>
                          </w:rPr>
                        </m:ctrlPr>
                      </m:sub>
                      <m:sup>
                        <m:r>
                          <w:rPr>
                            <w:rFonts w:ascii="Cambria Math" w:hAnsi="Cambria Math"/>
                            <w:lang w:eastAsia="ko-KR"/>
                          </w:rPr>
                          <m:t>M</m:t>
                        </m:r>
                        <m:r>
                          <m:rPr>
                            <m:sty m:val="p"/>
                          </m:rPr>
                          <w:rPr>
                            <w:rFonts w:ascii="Cambria Math" w:hAnsi="Cambria Math"/>
                            <w:lang w:eastAsia="ko-KR"/>
                          </w:rPr>
                          <m:t>-1</m:t>
                        </m:r>
                        <m:ctrlPr>
                          <w:rPr>
                            <w:rFonts w:ascii="Cambria Math" w:hAnsi="Cambria Math"/>
                            <w:lang w:eastAsia="ko-KR"/>
                          </w:rPr>
                        </m:ctrlPr>
                      </m:sup>
                      <m:e>
                        <m:sSub>
                          <m:sSubPr>
                            <m:ctrlPr>
                              <w:rPr>
                                <w:rFonts w:ascii="Cambria Math" w:hAnsi="Cambria Math"/>
                                <w:lang w:eastAsia="ko-KR"/>
                              </w:rPr>
                            </m:ctrlPr>
                          </m:sSubPr>
                          <m:e>
                            <m:r>
                              <w:rPr>
                                <w:rFonts w:ascii="Cambria Math" w:hAnsi="Cambria Math"/>
                                <w:lang w:eastAsia="ko-KR"/>
                              </w:rPr>
                              <m:t>V</m:t>
                            </m:r>
                            <m:ctrlPr>
                              <w:rPr>
                                <w:rFonts w:ascii="Cambria Math" w:hAnsi="Cambria Math"/>
                                <w:lang w:eastAsia="ko-KR"/>
                              </w:rPr>
                            </m:ctrlPr>
                          </m:e>
                          <m:sub>
                            <m:r>
                              <w:rPr>
                                <w:rFonts w:ascii="Cambria Math" w:hAnsi="Cambria Math"/>
                                <w:lang w:eastAsia="ko-KR"/>
                              </w:rPr>
                              <m:t>j</m:t>
                            </m:r>
                            <m:r>
                              <m:rPr>
                                <m:sty m:val="p"/>
                              </m:rPr>
                              <w:rPr>
                                <w:rFonts w:ascii="Cambria Math" w:hAnsi="Cambria Math"/>
                                <w:lang w:eastAsia="ko-KR"/>
                              </w:rPr>
                              <m:t>,</m:t>
                            </m:r>
                            <m:r>
                              <w:rPr>
                                <w:rFonts w:ascii="Cambria Math" w:hAnsi="Cambria Math"/>
                                <w:lang w:eastAsia="ko-KR"/>
                              </w:rPr>
                              <m:t>m</m:t>
                            </m:r>
                            <m:ctrlPr>
                              <w:rPr>
                                <w:rFonts w:ascii="Cambria Math" w:hAnsi="Cambria Math"/>
                                <w:lang w:eastAsia="ko-KR"/>
                              </w:rPr>
                            </m:ctrlPr>
                          </m:sub>
                        </m:sSub>
                        <m:ctrlPr>
                          <w:rPr>
                            <w:rFonts w:ascii="Cambria Math" w:hAnsi="Cambria Math"/>
                            <w:lang w:eastAsia="ko-KR"/>
                          </w:rPr>
                        </m:ctrlPr>
                      </m:e>
                    </m:nary>
                    <m:ctrlPr>
                      <w:rPr>
                        <w:rFonts w:ascii="Cambria Math" w:hAnsi="Cambria Math"/>
                        <w:lang w:eastAsia="ko-KR"/>
                      </w:rPr>
                    </m:ctrlPr>
                  </m:num>
                  <m:den>
                    <m:r>
                      <w:rPr>
                        <w:rFonts w:ascii="Cambria Math" w:hAnsi="Cambria Math"/>
                      </w:rPr>
                      <m:t>L</m:t>
                    </m:r>
                    <m:r>
                      <m:rPr>
                        <m:sty m:val="p"/>
                      </m:rPr>
                      <w:rPr>
                        <w:rFonts w:ascii="Cambria Math" w:hAnsi="Cambria Math"/>
                      </w:rPr>
                      <m:t>×</m:t>
                    </m:r>
                    <m:sSubSup>
                      <m:sSubSupPr>
                        <m:ctrlPr>
                          <w:rPr>
                            <w:rFonts w:ascii="Cambria Math" w:hAnsi="Cambria Math"/>
                            <w:iCs/>
                          </w:rPr>
                        </m:ctrlPr>
                      </m:sSubSupPr>
                      <m:e>
                        <m:r>
                          <w:rPr>
                            <w:rFonts w:ascii="Cambria Math" w:hAnsi="Cambria Math"/>
                          </w:rPr>
                          <m:t>T</m:t>
                        </m:r>
                        <m:ctrlPr>
                          <w:rPr>
                            <w:rFonts w:ascii="Cambria Math" w:hAnsi="Cambria Math"/>
                            <w:iCs/>
                          </w:rPr>
                        </m:ctrlPr>
                      </m:e>
                      <m:sub>
                        <m:r>
                          <w:rPr>
                            <w:rFonts w:ascii="Cambria Math" w:hAnsi="Cambria Math"/>
                          </w:rPr>
                          <m:t>s</m:t>
                        </m:r>
                        <m:ctrlPr>
                          <w:rPr>
                            <w:rFonts w:ascii="Cambria Math" w:hAnsi="Cambria Math"/>
                            <w:iCs/>
                          </w:rPr>
                        </m:ctrlPr>
                      </m:sub>
                      <m:sup>
                        <m:r>
                          <w:rPr>
                            <w:rFonts w:ascii="Cambria Math" w:hAnsi="Cambria Math"/>
                          </w:rPr>
                          <m:t>μ</m:t>
                        </m:r>
                        <m:ctrlPr>
                          <w:rPr>
                            <w:rFonts w:ascii="Cambria Math" w:hAnsi="Cambria Math"/>
                            <w:iCs/>
                          </w:rPr>
                        </m:ctrlPr>
                      </m:sup>
                    </m:sSubSup>
                    <m:ctrlPr>
                      <w:rPr>
                        <w:rFonts w:ascii="Cambria Math" w:hAnsi="Cambria Math"/>
                        <w:lang w:eastAsia="ko-KR"/>
                      </w:rPr>
                    </m:ctrlPr>
                  </m:den>
                </m:f>
                <m:r>
                  <m:rPr>
                    <m:sty m:val="p"/>
                  </m:rPr>
                  <w:rPr>
                    <w:rFonts w:ascii="Cambria Math" w:hAnsi="Cambria Math"/>
                  </w:rPr>
                  <m:t>≤</m:t>
                </m:r>
                <m:r>
                  <w:rPr>
                    <w:rFonts w:ascii="Cambria Math" w:hAnsi="Cambria Math"/>
                  </w:rPr>
                  <m:t>DataRateCC</m:t>
                </m:r>
              </m:oMath>
            </m:oMathPara>
          </w:p>
          <w:p>
            <w:pPr>
              <w:spacing w:before="120" w:line="280" w:lineRule="atLeast"/>
              <w:rPr>
                <w:iCs/>
                <w:color w:val="000000" w:themeColor="text1"/>
                <w14:textFill>
                  <w14:solidFill>
                    <w14:schemeClr w14:val="tx1"/>
                  </w14:solidFill>
                </w14:textFill>
              </w:rPr>
            </w:pPr>
            <w:r>
              <w:rPr>
                <w:iCs/>
                <w:color w:val="000000" w:themeColor="text1"/>
                <w:lang w:eastAsia="ko-KR"/>
                <w14:textFill>
                  <w14:solidFill>
                    <w14:schemeClr w14:val="tx1"/>
                  </w14:solidFill>
                </w14:textFill>
              </w:rPr>
              <w:t>w</w:t>
            </w:r>
            <w:r>
              <w:rPr>
                <w:iCs/>
                <w:color w:val="000000" w:themeColor="text1"/>
                <w14:textFill>
                  <w14:solidFill>
                    <w14:schemeClr w14:val="tx1"/>
                  </w14:solidFill>
                </w14:textFill>
              </w:rPr>
              <w:t>here</w:t>
            </w:r>
          </w:p>
          <w:p>
            <w:pPr>
              <w:pStyle w:val="87"/>
              <w:spacing w:before="120" w:line="280" w:lineRule="atLeast"/>
            </w:pPr>
            <w:r>
              <w:t>-</w:t>
            </w:r>
            <w:r>
              <w:tab/>
            </w:r>
            <m:oMath>
              <m:r>
                <w:rPr>
                  <w:rFonts w:ascii="Cambria Math" w:hAnsi="Cambria Math"/>
                </w:rPr>
                <m:t xml:space="preserve">L </m:t>
              </m:r>
            </m:oMath>
            <w:r>
              <w:t>is the number of symbols assigned to the PUSCH</w:t>
            </w:r>
          </w:p>
          <w:p>
            <w:pPr>
              <w:pStyle w:val="87"/>
              <w:spacing w:before="120" w:line="280" w:lineRule="atLeast"/>
            </w:pPr>
            <w:r>
              <w:t>-</w:t>
            </w:r>
            <w:r>
              <w:tab/>
            </w:r>
            <w:r>
              <w:rPr>
                <w:rFonts w:hint="eastAsia"/>
                <w:i/>
                <w:lang w:eastAsia="ko-KR"/>
              </w:rPr>
              <w:t>M</w:t>
            </w:r>
            <w:r>
              <w:rPr>
                <w:rFonts w:hint="eastAsia"/>
                <w:lang w:eastAsia="ko-KR"/>
              </w:rPr>
              <w:t xml:space="preserve"> is the number of TB </w:t>
            </w:r>
            <w:r>
              <w:rPr>
                <w:lang w:eastAsia="ko-KR"/>
              </w:rPr>
              <w:t>in the PUSCH</w:t>
            </w:r>
          </w:p>
          <w:p>
            <w:pPr>
              <w:pStyle w:val="87"/>
              <w:spacing w:before="120" w:line="280" w:lineRule="atLeast"/>
            </w:pPr>
            <w:r>
              <w:t>-</w:t>
            </w:r>
            <w:r>
              <w:tab/>
            </w:r>
            <m:oMath>
              <m:sSubSup>
                <m:sSubSupPr>
                  <m:ctrlPr>
                    <w:rPr>
                      <w:rFonts w:ascii="Cambria Math" w:hAnsi="Cambria Math"/>
                      <w:i/>
                    </w:rPr>
                  </m:ctrlPr>
                </m:sSubSupPr>
                <m:e>
                  <m:r>
                    <w:rPr>
                      <w:rFonts w:ascii="Cambria Math" w:hAnsi="Cambria Math"/>
                    </w:rPr>
                    <m:t>T</m:t>
                  </m:r>
                  <m:ctrlPr>
                    <w:rPr>
                      <w:rFonts w:ascii="Cambria Math" w:hAnsi="Cambria Math"/>
                      <w:i/>
                    </w:rPr>
                  </m:ctrlPr>
                </m:e>
                <m:sub>
                  <m:r>
                    <w:rPr>
                      <w:rFonts w:ascii="Cambria Math" w:hAnsi="Cambria Math"/>
                    </w:rPr>
                    <m:t>s</m:t>
                  </m:r>
                  <m:ctrlPr>
                    <w:rPr>
                      <w:rFonts w:ascii="Cambria Math" w:hAnsi="Cambria Math"/>
                      <w:i/>
                    </w:rPr>
                  </m:ctrlPr>
                </m:sub>
                <m:sup>
                  <m:r>
                    <w:rPr>
                      <w:rFonts w:ascii="Cambria Math" w:hAnsi="Cambria Math"/>
                    </w:rPr>
                    <m:t>μ</m:t>
                  </m:r>
                  <m:ctrlPr>
                    <w:rPr>
                      <w:rFonts w:ascii="Cambria Math" w:hAnsi="Cambria Math"/>
                      <w:i/>
                    </w:rPr>
                  </m:ctrlPr>
                </m:sup>
              </m:sSubSup>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10</m:t>
                      </m:r>
                      <m:ctrlPr>
                        <w:rPr>
                          <w:rFonts w:ascii="Cambria Math" w:hAnsi="Cambria Math"/>
                          <w:i/>
                        </w:rPr>
                      </m:ctrlPr>
                    </m:e>
                    <m:sup>
                      <m:r>
                        <w:rPr>
                          <w:rFonts w:ascii="Cambria Math" w:hAnsi="Cambria Math"/>
                        </w:rPr>
                        <m:t>-3</m:t>
                      </m:r>
                      <m:ctrlPr>
                        <w:rPr>
                          <w:rFonts w:ascii="Cambria Math" w:hAnsi="Cambria Math"/>
                          <w:i/>
                        </w:rPr>
                      </m:ctrlPr>
                    </m:sup>
                  </m:sSup>
                  <m:ctrlPr>
                    <w:rPr>
                      <w:rFonts w:ascii="Cambria Math" w:hAnsi="Cambria Math"/>
                      <w:i/>
                    </w:rPr>
                  </m:ctrlPr>
                </m:num>
                <m:den>
                  <m:sSubSup>
                    <m:sSubSupPr>
                      <m:ctrlPr>
                        <w:rPr>
                          <w:rFonts w:ascii="Cambria Math" w:hAnsi="Cambria Math"/>
                          <w:i/>
                        </w:rPr>
                      </m:ctrlPr>
                    </m:sSubSupPr>
                    <m:e>
                      <m:sSup>
                        <m:sSupPr>
                          <m:ctrlPr>
                            <w:rPr>
                              <w:rFonts w:ascii="Cambria Math" w:hAnsi="Cambria Math"/>
                              <w:i/>
                            </w:rPr>
                          </m:ctrlPr>
                        </m:sSupPr>
                        <m:e>
                          <m:r>
                            <w:rPr>
                              <w:rFonts w:ascii="Cambria Math" w:hAnsi="Cambria Math"/>
                            </w:rPr>
                            <m:t>2</m:t>
                          </m:r>
                          <m:ctrlPr>
                            <w:rPr>
                              <w:rFonts w:ascii="Cambria Math" w:hAnsi="Cambria Math"/>
                              <w:i/>
                            </w:rPr>
                          </m:ctrlPr>
                        </m:e>
                        <m:sup>
                          <m:r>
                            <w:rPr>
                              <w:rFonts w:ascii="Cambria Math" w:hAnsi="Cambria Math"/>
                            </w:rPr>
                            <m:t>μ</m:t>
                          </m:r>
                          <m:ctrlPr>
                            <w:rPr>
                              <w:rFonts w:ascii="Cambria Math" w:hAnsi="Cambria Math"/>
                              <w:i/>
                            </w:rPr>
                          </m:ctrlPr>
                        </m:sup>
                      </m:sSup>
                      <m:r>
                        <w:rPr>
                          <w:rFonts w:ascii="Cambria Math" w:hAnsi="Cambria Math"/>
                        </w:rPr>
                        <m:t>∙N</m:t>
                      </m:r>
                      <m:ctrlPr>
                        <w:rPr>
                          <w:rFonts w:ascii="Cambria Math" w:hAnsi="Cambria Math"/>
                          <w:i/>
                        </w:rPr>
                      </m:ctrlPr>
                    </m:e>
                    <m:sub>
                      <m:r>
                        <w:rPr>
                          <w:rFonts w:ascii="Cambria Math" w:hAnsi="Cambria Math"/>
                        </w:rPr>
                        <m:t>symb</m:t>
                      </m:r>
                      <m:ctrlPr>
                        <w:rPr>
                          <w:rFonts w:ascii="Cambria Math" w:hAnsi="Cambria Math"/>
                          <w:i/>
                        </w:rPr>
                      </m:ctrlPr>
                    </m:sub>
                    <m:sup>
                      <m:r>
                        <w:rPr>
                          <w:rFonts w:ascii="Cambria Math" w:hAnsi="Cambria Math"/>
                        </w:rPr>
                        <m:t>slot</m:t>
                      </m:r>
                      <m:ctrlPr>
                        <w:rPr>
                          <w:rFonts w:ascii="Cambria Math" w:hAnsi="Cambria Math"/>
                          <w:i/>
                        </w:rPr>
                      </m:ctrlPr>
                    </m:sup>
                  </m:sSubSup>
                  <m:ctrlPr>
                    <w:rPr>
                      <w:rFonts w:ascii="Cambria Math" w:hAnsi="Cambria Math"/>
                      <w:i/>
                    </w:rPr>
                  </m:ctrlPr>
                </m:den>
              </m:f>
            </m:oMath>
            <w:r>
              <w:t xml:space="preserve"> where </w:t>
            </w:r>
            <w:r>
              <w:rPr/>
              <w:sym w:font="Symbol" w:char="F06D"/>
            </w:r>
            <w:r>
              <w:t xml:space="preserve"> is the numerology of the PUSCH </w:t>
            </w:r>
          </w:p>
          <w:p>
            <w:pPr>
              <w:pStyle w:val="87"/>
              <w:spacing w:before="120" w:line="280" w:lineRule="atLeast"/>
            </w:pPr>
            <w:r>
              <w:t>-</w:t>
            </w:r>
            <w:r>
              <w:tab/>
            </w:r>
            <w:r>
              <w:rPr>
                <w:lang w:eastAsia="ko-KR"/>
              </w:rPr>
              <w:t xml:space="preserve">for the </w:t>
            </w:r>
            <w:r>
              <w:rPr>
                <w:i/>
                <w:lang w:eastAsia="ko-KR"/>
              </w:rPr>
              <w:t>m</w:t>
            </w:r>
            <w:r>
              <w:t xml:space="preserve">-th TB, </w:t>
            </w:r>
            <m:oMath>
              <m:sSub>
                <m:sSubPr>
                  <m:ctrlPr>
                    <w:rPr>
                      <w:rFonts w:ascii="Cambria Math" w:hAnsi="Cambria Math"/>
                      <w:i/>
                      <w:lang w:eastAsia="ko-KR"/>
                    </w:rPr>
                  </m:ctrlPr>
                </m:sSubPr>
                <m:e>
                  <m:r>
                    <w:rPr>
                      <w:rFonts w:ascii="Cambria Math" w:hAnsi="Cambria Math"/>
                      <w:lang w:eastAsia="ko-KR"/>
                    </w:rPr>
                    <m:t>V</m:t>
                  </m:r>
                  <m:ctrlPr>
                    <w:rPr>
                      <w:rFonts w:ascii="Cambria Math" w:hAnsi="Cambria Math"/>
                      <w:i/>
                      <w:lang w:eastAsia="ko-KR"/>
                    </w:rPr>
                  </m:ctrlPr>
                </m:e>
                <m:sub>
                  <m:r>
                    <w:rPr>
                      <w:rFonts w:ascii="Cambria Math" w:hAnsi="Cambria Math"/>
                      <w:lang w:eastAsia="ko-KR"/>
                    </w:rPr>
                    <m:t>j,m</m:t>
                  </m:r>
                  <m:ctrlPr>
                    <w:rPr>
                      <w:rFonts w:ascii="Cambria Math" w:hAnsi="Cambria Math"/>
                      <w:i/>
                      <w:lang w:eastAsia="ko-KR"/>
                    </w:rPr>
                  </m:ctrlPr>
                </m:sub>
              </m:sSub>
              <m:r>
                <w:rPr>
                  <w:rFonts w:ascii="Cambria Math" w:hAnsi="Cambria Math"/>
                  <w:lang w:eastAsia="ko-KR"/>
                </w:rPr>
                <m:t>=C'∙</m:t>
              </m:r>
              <m:d>
                <m:dPr>
                  <m:begChr m:val="⌊"/>
                  <m:endChr m:val="⌋"/>
                  <m:ctrlPr>
                    <w:rPr>
                      <w:rFonts w:ascii="Cambria Math" w:hAnsi="Cambria Math"/>
                      <w:i/>
                    </w:rPr>
                  </m:ctrlPr>
                </m:dPr>
                <m:e>
                  <m:f>
                    <m:fPr>
                      <m:ctrlPr>
                        <w:rPr>
                          <w:rFonts w:ascii="Cambria Math" w:hAnsi="Cambria Math"/>
                          <w:i/>
                        </w:rPr>
                      </m:ctrlPr>
                    </m:fPr>
                    <m:num>
                      <m:r>
                        <w:rPr>
                          <w:rFonts w:ascii="Cambria Math" w:hAnsi="Cambria Math"/>
                        </w:rPr>
                        <m:t>A</m:t>
                      </m:r>
                      <m:ctrlPr>
                        <w:rPr>
                          <w:rFonts w:ascii="Cambria Math" w:hAnsi="Cambria Math"/>
                          <w:i/>
                        </w:rPr>
                      </m:ctrlPr>
                    </m:num>
                    <m:den>
                      <m:r>
                        <w:rPr>
                          <w:rFonts w:ascii="Cambria Math" w:hAnsi="Cambria Math"/>
                        </w:rPr>
                        <m:t>C</m:t>
                      </m:r>
                      <m:ctrlPr>
                        <w:rPr>
                          <w:rFonts w:ascii="Cambria Math" w:hAnsi="Cambria Math"/>
                          <w:i/>
                        </w:rPr>
                      </m:ctrlPr>
                    </m:den>
                  </m:f>
                  <m:ctrlPr>
                    <w:rPr>
                      <w:rFonts w:ascii="Cambria Math" w:hAnsi="Cambria Math"/>
                      <w:i/>
                    </w:rPr>
                  </m:ctrlPr>
                </m:e>
              </m:d>
            </m:oMath>
          </w:p>
          <w:p>
            <w:pPr>
              <w:pStyle w:val="88"/>
              <w:spacing w:before="120" w:line="280" w:lineRule="atLeast"/>
            </w:pPr>
            <w:r>
              <w:t>-</w:t>
            </w:r>
            <w:r>
              <w:tab/>
            </w:r>
            <w:r>
              <w:rPr>
                <w:i/>
              </w:rPr>
              <w:t>A</w:t>
            </w:r>
            <w:r>
              <w:t xml:space="preserve"> is the number of bits in the transport block as defined in Clause 6.2.1 [5, TS 38.212] </w:t>
            </w:r>
          </w:p>
          <w:p>
            <w:pPr>
              <w:pStyle w:val="88"/>
              <w:spacing w:before="120" w:line="280" w:lineRule="atLeast"/>
            </w:pPr>
            <w:r>
              <w:t>-</w:t>
            </w:r>
            <w:r>
              <w:tab/>
            </w:r>
            <w:r>
              <w:rPr>
                <w:i/>
              </w:rPr>
              <w:t>C</w:t>
            </w:r>
            <w:r>
              <w:t xml:space="preserve"> is the total number of code blocks for the transport block defined in Clause 5.2.2 [5, TS 38.212]</w:t>
            </w:r>
          </w:p>
          <w:p>
            <w:pPr>
              <w:pStyle w:val="88"/>
              <w:spacing w:before="120" w:line="280" w:lineRule="atLeast"/>
            </w:pPr>
            <w:r>
              <w:t>-</w:t>
            </w:r>
            <w:r>
              <w:tab/>
            </w:r>
            <m:oMath>
              <m:r>
                <w:rPr>
                  <w:rFonts w:ascii="Cambria Math" w:hAnsi="Cambria Math"/>
                  <w:lang w:eastAsia="ko-KR"/>
                </w:rPr>
                <m:t>C'</m:t>
              </m:r>
            </m:oMath>
            <w:r>
              <w:rPr>
                <w:rFonts w:eastAsiaTheme="minorEastAsia"/>
                <w:lang w:eastAsia="ko-KR"/>
              </w:rPr>
              <w:t xml:space="preserve"> </w:t>
            </w:r>
            <w:r>
              <w:t xml:space="preserve">is the number of scheduled code blocks for the transport block as defined in Clause 5.4.2.1 [5, TS 38.212] </w:t>
            </w:r>
          </w:p>
          <w:p>
            <w:pPr>
              <w:pStyle w:val="87"/>
              <w:spacing w:before="120" w:line="280" w:lineRule="atLeast"/>
              <w:rPr>
                <w:i/>
              </w:rPr>
            </w:pPr>
            <w:r>
              <w:t>-</w:t>
            </w:r>
            <w:r>
              <w:tab/>
            </w:r>
            <m:oMath>
              <m:r>
                <w:rPr>
                  <w:rFonts w:ascii="Cambria Math" w:hAnsi="Cambria Math"/>
                </w:rPr>
                <m:t>DataRateCC</m:t>
              </m:r>
            </m:oMath>
            <w:r>
              <w:t xml:space="preserve"> [Mbps] is computed </w:t>
            </w:r>
            <w:r>
              <w:rPr>
                <w:lang w:val="en-US"/>
              </w:rPr>
              <w:t>as the</w:t>
            </w:r>
            <w:r>
              <w:t xml:space="preserve"> maximum data rate </w:t>
            </w:r>
            <w:r>
              <w:rPr>
                <w:lang w:val="en-US"/>
              </w:rPr>
              <w:t xml:space="preserve">for a carrier in the frequency band of the serving cell for any signaled band combination and feature set consistent with the serving cell, where the data rate value is </w:t>
            </w:r>
            <w:r>
              <w:t xml:space="preserve">given by </w:t>
            </w:r>
            <w:r>
              <w:rPr>
                <w:lang w:val="en-US"/>
              </w:rPr>
              <w:t xml:space="preserve">the formula in </w:t>
            </w:r>
            <w:r>
              <w:t xml:space="preserve">Clause 4.1.2 in [13, TS 38.306], including the scaling factor </w:t>
            </w:r>
            <w:r>
              <w:rPr>
                <w:i/>
              </w:rPr>
              <w:t>f(i)</w:t>
            </w:r>
          </w:p>
          <w:p>
            <w:pPr>
              <w:spacing w:before="120" w:line="280" w:lineRule="atLeast"/>
              <w:rPr>
                <w:rFonts w:hint="default"/>
                <w:iCs/>
                <w:lang w:val="en-US"/>
              </w:rPr>
            </w:pPr>
            <w:r>
              <w:t>-</w:t>
            </w:r>
            <w:r>
              <w:tab/>
            </w:r>
            <w:r>
              <w:rPr>
                <w:iCs/>
              </w:rPr>
              <w:t>each actual repetition for PUSCH repetition type B is treated as one PUSCH</w:t>
            </w:r>
            <w:r>
              <w:rPr>
                <w:rFonts w:hint="default"/>
                <w:iCs/>
                <w:lang w:val="en-US"/>
              </w:rPr>
              <w:t>.</w:t>
            </w:r>
          </w:p>
          <w:p>
            <w:pPr>
              <w:spacing w:before="120" w:line="280" w:lineRule="atLeast"/>
              <w:rPr>
                <w:rFonts w:hint="default"/>
                <w:iCs/>
                <w:lang w:val="en-US" w:eastAsia="zh-CN"/>
              </w:rPr>
            </w:pPr>
            <w:r>
              <w:rPr>
                <w:b/>
                <w:iCs/>
                <w:color w:val="FF0000"/>
                <w:sz w:val="28"/>
              </w:rPr>
              <w:t>&lt;Unchanged parts are omitted&gt;</w:t>
            </w:r>
          </w:p>
        </w:tc>
      </w:tr>
    </w:tbl>
    <w:p>
      <w:pPr>
        <w:bidi w:val="0"/>
        <w:rPr>
          <w:rFonts w:hint="default"/>
          <w:i/>
          <w:iCs/>
          <w:lang w:val="en-US" w:eastAsia="zh-CN"/>
        </w:rPr>
      </w:pPr>
      <w:bookmarkStart w:id="12" w:name="_GoBack"/>
      <w:bookmarkEnd w:id="12"/>
    </w:p>
    <w:p>
      <w:pPr>
        <w:pStyle w:val="2"/>
        <w:rPr>
          <w:lang w:eastAsia="zh-CN"/>
        </w:rPr>
      </w:pPr>
      <w:r>
        <w:rPr>
          <w:rFonts w:hint="eastAsia"/>
          <w:lang w:eastAsia="zh-CN"/>
        </w:rPr>
        <w:t>R</w:t>
      </w:r>
      <w:r>
        <w:rPr>
          <w:lang w:eastAsia="zh-CN"/>
        </w:rPr>
        <w:t>eference</w:t>
      </w:r>
    </w:p>
    <w:p>
      <w:pPr>
        <w:pStyle w:val="126"/>
        <w:rPr>
          <w:rFonts w:hint="default"/>
          <w:lang w:val="en-US" w:eastAsia="zh-CN"/>
        </w:rPr>
      </w:pPr>
      <w:r>
        <w:rPr>
          <w:rFonts w:hint="default"/>
          <w:lang w:val="en-US" w:eastAsia="zh-CN"/>
        </w:rPr>
        <w:t>3GPP, RAN#94-e, Meeting Report</w:t>
      </w:r>
    </w:p>
    <w:p>
      <w:pPr>
        <w:pStyle w:val="126"/>
        <w:rPr>
          <w:rFonts w:hint="default"/>
          <w:lang w:val="en-US" w:eastAsia="zh-CN"/>
        </w:rPr>
      </w:pPr>
      <w:r>
        <w:rPr>
          <w:rFonts w:hint="default"/>
          <w:lang w:val="en-US" w:eastAsia="zh-CN"/>
        </w:rPr>
        <w:t>3GPP, RAN1#107-e, R1-2112859, Summary for [107-e-NR-7.1CRs-6] Issue #10: Discussion on HARQ-ACK multiplexing on PUSCH</w:t>
      </w:r>
    </w:p>
    <w:p>
      <w:pPr>
        <w:pStyle w:val="126"/>
        <w:rPr>
          <w:rFonts w:hint="default"/>
          <w:lang w:val="en-US" w:eastAsia="zh-CN"/>
        </w:rPr>
      </w:pPr>
      <w:r>
        <w:rPr>
          <w:rFonts w:hint="default"/>
          <w:lang w:val="en-US" w:eastAsia="zh-CN"/>
        </w:rPr>
        <w:t>3GPP, TS38.214-h00, Physical layer procedures for data</w:t>
      </w: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Tms Rmn">
    <w:altName w:val="Segoe Print"/>
    <w:panose1 w:val="02020603040505020304"/>
    <w:charset w:val="00"/>
    <w:family w:val="roman"/>
    <w:pitch w:val="default"/>
    <w:sig w:usb0="00000000" w:usb1="00000000" w:usb2="00000000" w:usb3="00000000" w:csb0="00000001" w:csb1="00000000"/>
  </w:font>
  <w:font w:name="굴림">
    <w:altName w:val="Malgun Gothic"/>
    <w:panose1 w:val="020B0600000101010101"/>
    <w:charset w:val="81"/>
    <w:family w:val="moder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Cambria Math">
    <w:panose1 w:val="02040503050406030204"/>
    <w:charset w:val="00"/>
    <w:family w:val="roman"/>
    <w:pitch w:val="default"/>
    <w:sig w:usb0="E00006FF" w:usb1="420024FF" w:usb2="02000000" w:usb3="00000000" w:csb0="2000019F" w:csb1="00000000"/>
  </w:font>
  <w:font w:name="BatangChe">
    <w:altName w:val="Malgun Gothic"/>
    <w:panose1 w:val="00000000000000000000"/>
    <w:charset w:val="81"/>
    <w:family w:val="moder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Malgun Gothic">
    <w:panose1 w:val="020B0503020000020004"/>
    <w:charset w:val="81"/>
    <w:family w:val="auto"/>
    <w:pitch w:val="default"/>
    <w:sig w:usb0="9000002F" w:usb1="29D77CFB" w:usb2="00000012" w:usb3="00000000" w:csb0="00080001" w:csb1="00000000"/>
  </w:font>
  <w:font w:name="Segoe Print">
    <w:panose1 w:val="02000600000000000000"/>
    <w:charset w:val="00"/>
    <w:family w:val="auto"/>
    <w:pitch w:val="default"/>
    <w:sig w:usb0="0000028F" w:usb1="00000000" w:usb2="00000000" w:usb3="00000000" w:csb0="2000009F" w:csb1="47010000"/>
  </w:font>
  <w:font w:name="Wingdings">
    <w:panose1 w:val="05000000000000000000"/>
    <w:charset w:val="00"/>
    <w:family w:val="auto"/>
    <w:pitch w:val="default"/>
    <w:sig w:usb0="00000000" w:usb1="00000000" w:usb2="00000000" w:usb3="00000000" w:csb0="80000000" w:csb1="00000000"/>
  </w:font>
  <w:font w:name="MS Mincho">
    <w:altName w:val="Segoe Print"/>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7</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12</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2">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4">
    <w:nsid w:val="3EE42393"/>
    <w:multiLevelType w:val="singleLevel"/>
    <w:tmpl w:val="3EE42393"/>
    <w:lvl w:ilvl="0" w:tentative="0">
      <w:start w:val="1"/>
      <w:numFmt w:val="bullet"/>
      <w:lvlText w:val=""/>
      <w:lvlJc w:val="left"/>
      <w:pPr>
        <w:tabs>
          <w:tab w:val="left" w:pos="420"/>
        </w:tabs>
        <w:ind w:left="840" w:hanging="420"/>
      </w:pPr>
      <w:rPr>
        <w:rFonts w:hint="default" w:ascii="Wingdings" w:hAnsi="Wingdings"/>
      </w:rPr>
    </w:lvl>
  </w:abstractNum>
  <w:abstractNum w:abstractNumId="5">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0146DC0"/>
    <w:multiLevelType w:val="multilevel"/>
    <w:tmpl w:val="70146DC0"/>
    <w:lvl w:ilvl="0" w:tentative="0">
      <w:start w:val="1"/>
      <w:numFmt w:val="bullet"/>
      <w:pStyle w:val="158"/>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 w:numId="3">
    <w:abstractNumId w:val="6"/>
  </w:num>
  <w:num w:numId="4">
    <w:abstractNumId w:val="3"/>
  </w:num>
  <w:num w:numId="5">
    <w:abstractNumId w:val="9"/>
  </w:num>
  <w:num w:numId="6">
    <w:abstractNumId w:val="5"/>
  </w:num>
  <w:num w:numId="7">
    <w:abstractNumId w:val="2"/>
  </w:num>
  <w:num w:numId="8">
    <w:abstractNumId w:val="8"/>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6FFE"/>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2D8"/>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2CB9"/>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A82"/>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87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178"/>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85F"/>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5E9"/>
    <w:rsid w:val="00147679"/>
    <w:rsid w:val="00147773"/>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808"/>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6FC"/>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9B8"/>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5C8"/>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8F0"/>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52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3A8"/>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5E0D"/>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0FF"/>
    <w:rsid w:val="003042D5"/>
    <w:rsid w:val="00304556"/>
    <w:rsid w:val="00304AC5"/>
    <w:rsid w:val="00304C9E"/>
    <w:rsid w:val="0030598E"/>
    <w:rsid w:val="00305E25"/>
    <w:rsid w:val="003065FB"/>
    <w:rsid w:val="00306814"/>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D94"/>
    <w:rsid w:val="00342E4A"/>
    <w:rsid w:val="00342F1F"/>
    <w:rsid w:val="0034305B"/>
    <w:rsid w:val="00343C24"/>
    <w:rsid w:val="00343FA6"/>
    <w:rsid w:val="00344725"/>
    <w:rsid w:val="00344901"/>
    <w:rsid w:val="0034511B"/>
    <w:rsid w:val="003453BF"/>
    <w:rsid w:val="00345828"/>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B7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72A"/>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270"/>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6C2D"/>
    <w:rsid w:val="003F73A0"/>
    <w:rsid w:val="003F75C4"/>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09EC"/>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CE7"/>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3F02"/>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6689C"/>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8DE"/>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73D"/>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718"/>
    <w:rsid w:val="004F3D55"/>
    <w:rsid w:val="004F3DD1"/>
    <w:rsid w:val="004F4E53"/>
    <w:rsid w:val="004F54B6"/>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B36"/>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94A"/>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39"/>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584"/>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DB"/>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3F0"/>
    <w:rsid w:val="005F547B"/>
    <w:rsid w:val="005F556F"/>
    <w:rsid w:val="005F5C3D"/>
    <w:rsid w:val="005F660A"/>
    <w:rsid w:val="005F6697"/>
    <w:rsid w:val="005F69DD"/>
    <w:rsid w:val="005F6CA5"/>
    <w:rsid w:val="005F6EF0"/>
    <w:rsid w:val="005F6F60"/>
    <w:rsid w:val="005F6F9C"/>
    <w:rsid w:val="005F6FFC"/>
    <w:rsid w:val="005F7271"/>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39C"/>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9CE"/>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04E"/>
    <w:rsid w:val="0064615B"/>
    <w:rsid w:val="006466B5"/>
    <w:rsid w:val="00646A49"/>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18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27"/>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428"/>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23B"/>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37EE"/>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992"/>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724"/>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0D"/>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9BE"/>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57C"/>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98E"/>
    <w:rsid w:val="00917E0A"/>
    <w:rsid w:val="0092078E"/>
    <w:rsid w:val="00920848"/>
    <w:rsid w:val="00920B0E"/>
    <w:rsid w:val="0092134F"/>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690"/>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A49"/>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67EDE"/>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9E9"/>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0F4"/>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B3C"/>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C97"/>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3521"/>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019"/>
    <w:rsid w:val="00B84BE8"/>
    <w:rsid w:val="00B85132"/>
    <w:rsid w:val="00B855A8"/>
    <w:rsid w:val="00B85837"/>
    <w:rsid w:val="00B85F67"/>
    <w:rsid w:val="00B86557"/>
    <w:rsid w:val="00B86AD8"/>
    <w:rsid w:val="00B86D87"/>
    <w:rsid w:val="00B871D4"/>
    <w:rsid w:val="00B87AF3"/>
    <w:rsid w:val="00B87C60"/>
    <w:rsid w:val="00B90165"/>
    <w:rsid w:val="00B90758"/>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77A"/>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A6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9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0BA"/>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3B58"/>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3F4"/>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B8A"/>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65B"/>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6FE"/>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55D0"/>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6E13"/>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C99"/>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298"/>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C73"/>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BBA"/>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521"/>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2F44"/>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FFA"/>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A1E"/>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635"/>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364"/>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03E"/>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41897"/>
    <w:rsid w:val="011C77E8"/>
    <w:rsid w:val="0135231E"/>
    <w:rsid w:val="016B06CD"/>
    <w:rsid w:val="01A2575D"/>
    <w:rsid w:val="01A5018A"/>
    <w:rsid w:val="01D9472D"/>
    <w:rsid w:val="01FC2529"/>
    <w:rsid w:val="026835F1"/>
    <w:rsid w:val="027F51D6"/>
    <w:rsid w:val="0284643E"/>
    <w:rsid w:val="02C0763E"/>
    <w:rsid w:val="02CC2DF9"/>
    <w:rsid w:val="0319183E"/>
    <w:rsid w:val="03215927"/>
    <w:rsid w:val="03532C3F"/>
    <w:rsid w:val="039046B7"/>
    <w:rsid w:val="03B25C4C"/>
    <w:rsid w:val="03C4027F"/>
    <w:rsid w:val="03E442A7"/>
    <w:rsid w:val="03F94E83"/>
    <w:rsid w:val="03FC4856"/>
    <w:rsid w:val="04144412"/>
    <w:rsid w:val="04280594"/>
    <w:rsid w:val="04E2252B"/>
    <w:rsid w:val="04E46C50"/>
    <w:rsid w:val="04E51BB8"/>
    <w:rsid w:val="04FC54BE"/>
    <w:rsid w:val="05772202"/>
    <w:rsid w:val="05A246A6"/>
    <w:rsid w:val="05FA35C5"/>
    <w:rsid w:val="061F7747"/>
    <w:rsid w:val="066953FF"/>
    <w:rsid w:val="067D4C1C"/>
    <w:rsid w:val="06A864F3"/>
    <w:rsid w:val="06B127E5"/>
    <w:rsid w:val="06F146D9"/>
    <w:rsid w:val="07165FAB"/>
    <w:rsid w:val="072F2729"/>
    <w:rsid w:val="07861E5B"/>
    <w:rsid w:val="07901951"/>
    <w:rsid w:val="07C21FA9"/>
    <w:rsid w:val="07C60573"/>
    <w:rsid w:val="07F36B9B"/>
    <w:rsid w:val="08F7541D"/>
    <w:rsid w:val="09531BE1"/>
    <w:rsid w:val="0957797D"/>
    <w:rsid w:val="0972706B"/>
    <w:rsid w:val="09C21BB6"/>
    <w:rsid w:val="09EC1FC7"/>
    <w:rsid w:val="09EC74EE"/>
    <w:rsid w:val="0A2A77A5"/>
    <w:rsid w:val="0A7969DF"/>
    <w:rsid w:val="0A867EAB"/>
    <w:rsid w:val="0AC15DA7"/>
    <w:rsid w:val="0ACB6154"/>
    <w:rsid w:val="0AFC60B7"/>
    <w:rsid w:val="0B184842"/>
    <w:rsid w:val="0B6F0A8E"/>
    <w:rsid w:val="0BA473D0"/>
    <w:rsid w:val="0BAD20E5"/>
    <w:rsid w:val="0BAD7041"/>
    <w:rsid w:val="0BFD1C57"/>
    <w:rsid w:val="0C1F1F86"/>
    <w:rsid w:val="0C5123A8"/>
    <w:rsid w:val="0C6F5654"/>
    <w:rsid w:val="0C984199"/>
    <w:rsid w:val="0CF069CB"/>
    <w:rsid w:val="0D132BA9"/>
    <w:rsid w:val="0D423CF3"/>
    <w:rsid w:val="0D5B0F38"/>
    <w:rsid w:val="0D5D345F"/>
    <w:rsid w:val="0D660AC2"/>
    <w:rsid w:val="0D672BF6"/>
    <w:rsid w:val="0D704096"/>
    <w:rsid w:val="0D80043B"/>
    <w:rsid w:val="0D910425"/>
    <w:rsid w:val="0DBB1A46"/>
    <w:rsid w:val="0DF918A9"/>
    <w:rsid w:val="0E120AD5"/>
    <w:rsid w:val="0E315E93"/>
    <w:rsid w:val="0E862F3F"/>
    <w:rsid w:val="0E9D6013"/>
    <w:rsid w:val="0EB06FFE"/>
    <w:rsid w:val="0EC57FE4"/>
    <w:rsid w:val="0F196779"/>
    <w:rsid w:val="0F6B449B"/>
    <w:rsid w:val="0F997ACA"/>
    <w:rsid w:val="0F9C00AF"/>
    <w:rsid w:val="0FEE0729"/>
    <w:rsid w:val="10150A41"/>
    <w:rsid w:val="102F7219"/>
    <w:rsid w:val="103C4085"/>
    <w:rsid w:val="10B52074"/>
    <w:rsid w:val="11001DB4"/>
    <w:rsid w:val="115629E6"/>
    <w:rsid w:val="11572DD1"/>
    <w:rsid w:val="11DC793A"/>
    <w:rsid w:val="12300753"/>
    <w:rsid w:val="1241192F"/>
    <w:rsid w:val="1257267A"/>
    <w:rsid w:val="12602B9D"/>
    <w:rsid w:val="12A472D8"/>
    <w:rsid w:val="12BA4D2B"/>
    <w:rsid w:val="12F015F0"/>
    <w:rsid w:val="12FE321B"/>
    <w:rsid w:val="130859B8"/>
    <w:rsid w:val="133D5B30"/>
    <w:rsid w:val="135C64DF"/>
    <w:rsid w:val="137E61B0"/>
    <w:rsid w:val="13D91C28"/>
    <w:rsid w:val="141F2191"/>
    <w:rsid w:val="142A7523"/>
    <w:rsid w:val="14DD01BC"/>
    <w:rsid w:val="154567F6"/>
    <w:rsid w:val="15493DAC"/>
    <w:rsid w:val="15604ABA"/>
    <w:rsid w:val="157101B4"/>
    <w:rsid w:val="1575AEB2"/>
    <w:rsid w:val="15836BA2"/>
    <w:rsid w:val="164F7F6D"/>
    <w:rsid w:val="165E068A"/>
    <w:rsid w:val="16BD383B"/>
    <w:rsid w:val="1702D3F2"/>
    <w:rsid w:val="17230415"/>
    <w:rsid w:val="17A36C4C"/>
    <w:rsid w:val="17A625DA"/>
    <w:rsid w:val="17B77676"/>
    <w:rsid w:val="182A067F"/>
    <w:rsid w:val="18841E90"/>
    <w:rsid w:val="188D2058"/>
    <w:rsid w:val="18BA7603"/>
    <w:rsid w:val="18FD3F86"/>
    <w:rsid w:val="19235F0B"/>
    <w:rsid w:val="192B740B"/>
    <w:rsid w:val="192D5C32"/>
    <w:rsid w:val="193F26F1"/>
    <w:rsid w:val="19497C62"/>
    <w:rsid w:val="196337C8"/>
    <w:rsid w:val="198A694D"/>
    <w:rsid w:val="19980545"/>
    <w:rsid w:val="19A063D4"/>
    <w:rsid w:val="19CA09F8"/>
    <w:rsid w:val="19E117C3"/>
    <w:rsid w:val="19F73CC7"/>
    <w:rsid w:val="19FA7F54"/>
    <w:rsid w:val="1A347816"/>
    <w:rsid w:val="1A514204"/>
    <w:rsid w:val="1A884F76"/>
    <w:rsid w:val="1AD44303"/>
    <w:rsid w:val="1AFB1F5A"/>
    <w:rsid w:val="1B2E6DC7"/>
    <w:rsid w:val="1B30699D"/>
    <w:rsid w:val="1B5316CE"/>
    <w:rsid w:val="1B5E59D2"/>
    <w:rsid w:val="1B8650AC"/>
    <w:rsid w:val="1B9328C0"/>
    <w:rsid w:val="1BAA19D4"/>
    <w:rsid w:val="1BF579B9"/>
    <w:rsid w:val="1C395FFB"/>
    <w:rsid w:val="1C6013C8"/>
    <w:rsid w:val="1C766428"/>
    <w:rsid w:val="1C874259"/>
    <w:rsid w:val="1D38234F"/>
    <w:rsid w:val="1D4B6511"/>
    <w:rsid w:val="1D7806A7"/>
    <w:rsid w:val="1DA71CFD"/>
    <w:rsid w:val="1DAB29A2"/>
    <w:rsid w:val="1DC3039C"/>
    <w:rsid w:val="1DD50930"/>
    <w:rsid w:val="1DE66DDE"/>
    <w:rsid w:val="1DEE1CB6"/>
    <w:rsid w:val="1DF407BB"/>
    <w:rsid w:val="1E38003B"/>
    <w:rsid w:val="1E4207AD"/>
    <w:rsid w:val="1E4A56A9"/>
    <w:rsid w:val="1E5366C1"/>
    <w:rsid w:val="1E5564BA"/>
    <w:rsid w:val="1F850095"/>
    <w:rsid w:val="1FB91CD0"/>
    <w:rsid w:val="1FBD523C"/>
    <w:rsid w:val="1FC627E2"/>
    <w:rsid w:val="1FD85109"/>
    <w:rsid w:val="1FDA5618"/>
    <w:rsid w:val="20392AB6"/>
    <w:rsid w:val="20407EE3"/>
    <w:rsid w:val="20750BDD"/>
    <w:rsid w:val="20910CB1"/>
    <w:rsid w:val="20CD42FE"/>
    <w:rsid w:val="20D72496"/>
    <w:rsid w:val="20DD44A9"/>
    <w:rsid w:val="20E72124"/>
    <w:rsid w:val="20EA6C81"/>
    <w:rsid w:val="2102102E"/>
    <w:rsid w:val="21035A99"/>
    <w:rsid w:val="210811E1"/>
    <w:rsid w:val="210D039E"/>
    <w:rsid w:val="21282288"/>
    <w:rsid w:val="214B4914"/>
    <w:rsid w:val="21692244"/>
    <w:rsid w:val="218A241C"/>
    <w:rsid w:val="21942DDB"/>
    <w:rsid w:val="21E84CEC"/>
    <w:rsid w:val="21FA58F2"/>
    <w:rsid w:val="2201038D"/>
    <w:rsid w:val="229E5ACA"/>
    <w:rsid w:val="22C62A0D"/>
    <w:rsid w:val="22C66D30"/>
    <w:rsid w:val="23247878"/>
    <w:rsid w:val="23680C07"/>
    <w:rsid w:val="239E142D"/>
    <w:rsid w:val="23AF7474"/>
    <w:rsid w:val="23C901FD"/>
    <w:rsid w:val="23EA21A8"/>
    <w:rsid w:val="245870DE"/>
    <w:rsid w:val="247247A7"/>
    <w:rsid w:val="2473146A"/>
    <w:rsid w:val="24927781"/>
    <w:rsid w:val="24956530"/>
    <w:rsid w:val="24A768B2"/>
    <w:rsid w:val="251F4569"/>
    <w:rsid w:val="258728BF"/>
    <w:rsid w:val="25B371B9"/>
    <w:rsid w:val="25D26E45"/>
    <w:rsid w:val="26335F86"/>
    <w:rsid w:val="268C60B5"/>
    <w:rsid w:val="26B04FB4"/>
    <w:rsid w:val="27470D0A"/>
    <w:rsid w:val="275B67F9"/>
    <w:rsid w:val="275E699A"/>
    <w:rsid w:val="2793390D"/>
    <w:rsid w:val="27C5366D"/>
    <w:rsid w:val="27DD67CA"/>
    <w:rsid w:val="28384A79"/>
    <w:rsid w:val="2839733E"/>
    <w:rsid w:val="28690808"/>
    <w:rsid w:val="28B07E55"/>
    <w:rsid w:val="28B54AA2"/>
    <w:rsid w:val="290D64D6"/>
    <w:rsid w:val="29441D0D"/>
    <w:rsid w:val="294D6347"/>
    <w:rsid w:val="29C2594E"/>
    <w:rsid w:val="29E50AC8"/>
    <w:rsid w:val="2A0F0B23"/>
    <w:rsid w:val="2A52459E"/>
    <w:rsid w:val="2A5A3CF7"/>
    <w:rsid w:val="2A5E31FB"/>
    <w:rsid w:val="2AC65A40"/>
    <w:rsid w:val="2AD201BE"/>
    <w:rsid w:val="2AD7786F"/>
    <w:rsid w:val="2AFE2B7E"/>
    <w:rsid w:val="2B1B7019"/>
    <w:rsid w:val="2B5D7AD6"/>
    <w:rsid w:val="2B7E5327"/>
    <w:rsid w:val="2B8E5174"/>
    <w:rsid w:val="2C5D0FC2"/>
    <w:rsid w:val="2C731E01"/>
    <w:rsid w:val="2C880E99"/>
    <w:rsid w:val="2CD57B0B"/>
    <w:rsid w:val="2CE84050"/>
    <w:rsid w:val="2CF0147F"/>
    <w:rsid w:val="2D037341"/>
    <w:rsid w:val="2D376513"/>
    <w:rsid w:val="2D3805E9"/>
    <w:rsid w:val="2D3B55CA"/>
    <w:rsid w:val="2D902A98"/>
    <w:rsid w:val="2DC863F1"/>
    <w:rsid w:val="2E194A96"/>
    <w:rsid w:val="2E2E5FB6"/>
    <w:rsid w:val="2E4D45F8"/>
    <w:rsid w:val="2E500B54"/>
    <w:rsid w:val="2EA315DD"/>
    <w:rsid w:val="2EB72406"/>
    <w:rsid w:val="2EE35AD4"/>
    <w:rsid w:val="2F121AD6"/>
    <w:rsid w:val="2F2367DE"/>
    <w:rsid w:val="2F4443E0"/>
    <w:rsid w:val="2F797B38"/>
    <w:rsid w:val="2F994058"/>
    <w:rsid w:val="2FA773D4"/>
    <w:rsid w:val="2FF17CD6"/>
    <w:rsid w:val="30147C32"/>
    <w:rsid w:val="31542D3B"/>
    <w:rsid w:val="318B5075"/>
    <w:rsid w:val="31EB7BF1"/>
    <w:rsid w:val="32363829"/>
    <w:rsid w:val="3245071E"/>
    <w:rsid w:val="32832752"/>
    <w:rsid w:val="32CB5D97"/>
    <w:rsid w:val="32ED434C"/>
    <w:rsid w:val="32FE23BF"/>
    <w:rsid w:val="33006AEC"/>
    <w:rsid w:val="330E6893"/>
    <w:rsid w:val="331628B8"/>
    <w:rsid w:val="336F3742"/>
    <w:rsid w:val="3381468D"/>
    <w:rsid w:val="339F1C94"/>
    <w:rsid w:val="33DE0CB9"/>
    <w:rsid w:val="344F6A36"/>
    <w:rsid w:val="34B3395F"/>
    <w:rsid w:val="34C13D72"/>
    <w:rsid w:val="34C6564E"/>
    <w:rsid w:val="34E875BF"/>
    <w:rsid w:val="350F1170"/>
    <w:rsid w:val="3511129D"/>
    <w:rsid w:val="351A406B"/>
    <w:rsid w:val="354B66B7"/>
    <w:rsid w:val="354F2DC1"/>
    <w:rsid w:val="357D45BC"/>
    <w:rsid w:val="359455FE"/>
    <w:rsid w:val="36484FC1"/>
    <w:rsid w:val="366679F6"/>
    <w:rsid w:val="369270E4"/>
    <w:rsid w:val="36CD07B0"/>
    <w:rsid w:val="37153A8B"/>
    <w:rsid w:val="373C5C66"/>
    <w:rsid w:val="375C57D7"/>
    <w:rsid w:val="37B25272"/>
    <w:rsid w:val="37DD651E"/>
    <w:rsid w:val="385A4D4A"/>
    <w:rsid w:val="38A94A77"/>
    <w:rsid w:val="38BA113F"/>
    <w:rsid w:val="38BA71F3"/>
    <w:rsid w:val="38E27DEC"/>
    <w:rsid w:val="391609BB"/>
    <w:rsid w:val="392E6400"/>
    <w:rsid w:val="393C3987"/>
    <w:rsid w:val="39937B6F"/>
    <w:rsid w:val="39B82059"/>
    <w:rsid w:val="39D31BEF"/>
    <w:rsid w:val="39FE11BA"/>
    <w:rsid w:val="3A0677A1"/>
    <w:rsid w:val="3A0F0E32"/>
    <w:rsid w:val="3A135075"/>
    <w:rsid w:val="3A3968C0"/>
    <w:rsid w:val="3A4C1C4E"/>
    <w:rsid w:val="3A505EF3"/>
    <w:rsid w:val="3A563658"/>
    <w:rsid w:val="3A632979"/>
    <w:rsid w:val="3A791519"/>
    <w:rsid w:val="3A8424B5"/>
    <w:rsid w:val="3A867AE8"/>
    <w:rsid w:val="3A897973"/>
    <w:rsid w:val="3AB31D0C"/>
    <w:rsid w:val="3AD97E3A"/>
    <w:rsid w:val="3B141B02"/>
    <w:rsid w:val="3B1C30D7"/>
    <w:rsid w:val="3B3961CE"/>
    <w:rsid w:val="3B4A3B53"/>
    <w:rsid w:val="3B5651BA"/>
    <w:rsid w:val="3B8B323D"/>
    <w:rsid w:val="3B94063F"/>
    <w:rsid w:val="3BDE4D0D"/>
    <w:rsid w:val="3BF47021"/>
    <w:rsid w:val="3C1C5A4E"/>
    <w:rsid w:val="3C3D7B3D"/>
    <w:rsid w:val="3C795A31"/>
    <w:rsid w:val="3C923082"/>
    <w:rsid w:val="3CE52B1C"/>
    <w:rsid w:val="3D0354C7"/>
    <w:rsid w:val="3D503759"/>
    <w:rsid w:val="3D526BA9"/>
    <w:rsid w:val="3D5C6F45"/>
    <w:rsid w:val="3D7642C9"/>
    <w:rsid w:val="3D7F5A28"/>
    <w:rsid w:val="3D805F24"/>
    <w:rsid w:val="3DAA038F"/>
    <w:rsid w:val="3DDA6D42"/>
    <w:rsid w:val="3DE26C3E"/>
    <w:rsid w:val="3DE85362"/>
    <w:rsid w:val="3E01783E"/>
    <w:rsid w:val="3E3769E2"/>
    <w:rsid w:val="3E4165FB"/>
    <w:rsid w:val="3E7347F4"/>
    <w:rsid w:val="3E8552C0"/>
    <w:rsid w:val="3E85534F"/>
    <w:rsid w:val="3E922DCB"/>
    <w:rsid w:val="3EF83C43"/>
    <w:rsid w:val="3F01664D"/>
    <w:rsid w:val="3F175FC8"/>
    <w:rsid w:val="3F1A4DA4"/>
    <w:rsid w:val="3F374493"/>
    <w:rsid w:val="3F46399B"/>
    <w:rsid w:val="3F4A203A"/>
    <w:rsid w:val="3F747BDB"/>
    <w:rsid w:val="3F926FEA"/>
    <w:rsid w:val="3FD010A5"/>
    <w:rsid w:val="3FDC7494"/>
    <w:rsid w:val="401A7BA3"/>
    <w:rsid w:val="401C2F16"/>
    <w:rsid w:val="40850DCD"/>
    <w:rsid w:val="41310486"/>
    <w:rsid w:val="413224B2"/>
    <w:rsid w:val="41580881"/>
    <w:rsid w:val="41A75CD3"/>
    <w:rsid w:val="41AC1D9C"/>
    <w:rsid w:val="41E90AD7"/>
    <w:rsid w:val="41FE519E"/>
    <w:rsid w:val="4207424C"/>
    <w:rsid w:val="4242619A"/>
    <w:rsid w:val="42B20782"/>
    <w:rsid w:val="43444545"/>
    <w:rsid w:val="4345438E"/>
    <w:rsid w:val="434D41C7"/>
    <w:rsid w:val="438741B0"/>
    <w:rsid w:val="44024A8B"/>
    <w:rsid w:val="44917C93"/>
    <w:rsid w:val="44B612FA"/>
    <w:rsid w:val="44BA4099"/>
    <w:rsid w:val="44D1088A"/>
    <w:rsid w:val="44F04ED5"/>
    <w:rsid w:val="44F973D9"/>
    <w:rsid w:val="459F6357"/>
    <w:rsid w:val="45FF0F27"/>
    <w:rsid w:val="463E117E"/>
    <w:rsid w:val="464D0D0B"/>
    <w:rsid w:val="46547891"/>
    <w:rsid w:val="467320E7"/>
    <w:rsid w:val="4684407C"/>
    <w:rsid w:val="468E37DA"/>
    <w:rsid w:val="46D41E44"/>
    <w:rsid w:val="46E66DC4"/>
    <w:rsid w:val="46E6761D"/>
    <w:rsid w:val="46F114A1"/>
    <w:rsid w:val="4741534B"/>
    <w:rsid w:val="47AE2F53"/>
    <w:rsid w:val="47D53EDA"/>
    <w:rsid w:val="47F6467C"/>
    <w:rsid w:val="47FA0721"/>
    <w:rsid w:val="483B1BF1"/>
    <w:rsid w:val="487C2B41"/>
    <w:rsid w:val="48D53256"/>
    <w:rsid w:val="48ED2CFA"/>
    <w:rsid w:val="48EF4086"/>
    <w:rsid w:val="49446ABC"/>
    <w:rsid w:val="496938E0"/>
    <w:rsid w:val="4986043B"/>
    <w:rsid w:val="49882B35"/>
    <w:rsid w:val="49A91145"/>
    <w:rsid w:val="4A8F1807"/>
    <w:rsid w:val="4AA720A1"/>
    <w:rsid w:val="4AB22D3D"/>
    <w:rsid w:val="4B3872E6"/>
    <w:rsid w:val="4B425BC8"/>
    <w:rsid w:val="4B816508"/>
    <w:rsid w:val="4B822C56"/>
    <w:rsid w:val="4BA329C5"/>
    <w:rsid w:val="4BD33F29"/>
    <w:rsid w:val="4BFB5CA4"/>
    <w:rsid w:val="4BFC1ADF"/>
    <w:rsid w:val="4C611769"/>
    <w:rsid w:val="4C7B7D51"/>
    <w:rsid w:val="4C822291"/>
    <w:rsid w:val="4CA149AE"/>
    <w:rsid w:val="4D0B35CB"/>
    <w:rsid w:val="4D280365"/>
    <w:rsid w:val="4D291687"/>
    <w:rsid w:val="4D7A6095"/>
    <w:rsid w:val="4DBF6FE1"/>
    <w:rsid w:val="4DCA18F8"/>
    <w:rsid w:val="4DD0057E"/>
    <w:rsid w:val="4DD71CEE"/>
    <w:rsid w:val="4DF51404"/>
    <w:rsid w:val="4E4F585C"/>
    <w:rsid w:val="4E5633F4"/>
    <w:rsid w:val="4E7740D9"/>
    <w:rsid w:val="4E8D5940"/>
    <w:rsid w:val="4EA774CF"/>
    <w:rsid w:val="4EAC0AFF"/>
    <w:rsid w:val="4EC2021D"/>
    <w:rsid w:val="4EC57BBB"/>
    <w:rsid w:val="4ECF3669"/>
    <w:rsid w:val="4EEC6143"/>
    <w:rsid w:val="4F194024"/>
    <w:rsid w:val="4F1A4632"/>
    <w:rsid w:val="4F500C16"/>
    <w:rsid w:val="4F7E4F09"/>
    <w:rsid w:val="4FDB228E"/>
    <w:rsid w:val="4FE3050E"/>
    <w:rsid w:val="50196694"/>
    <w:rsid w:val="50946E51"/>
    <w:rsid w:val="50CD6950"/>
    <w:rsid w:val="50E93299"/>
    <w:rsid w:val="50FD13B2"/>
    <w:rsid w:val="5125709E"/>
    <w:rsid w:val="513E16AC"/>
    <w:rsid w:val="517174BB"/>
    <w:rsid w:val="51DA1198"/>
    <w:rsid w:val="52546F3F"/>
    <w:rsid w:val="527A1D76"/>
    <w:rsid w:val="52932641"/>
    <w:rsid w:val="52AA6BF6"/>
    <w:rsid w:val="52BB6452"/>
    <w:rsid w:val="52FE30BB"/>
    <w:rsid w:val="52FE6B60"/>
    <w:rsid w:val="534D67C2"/>
    <w:rsid w:val="535564DE"/>
    <w:rsid w:val="536E79E7"/>
    <w:rsid w:val="53742E9C"/>
    <w:rsid w:val="539E422E"/>
    <w:rsid w:val="53AA331E"/>
    <w:rsid w:val="53B442DB"/>
    <w:rsid w:val="53C25107"/>
    <w:rsid w:val="53CA6193"/>
    <w:rsid w:val="54197AD0"/>
    <w:rsid w:val="543314F7"/>
    <w:rsid w:val="545200D3"/>
    <w:rsid w:val="54920CC3"/>
    <w:rsid w:val="54CE2507"/>
    <w:rsid w:val="54F930BC"/>
    <w:rsid w:val="55181CD2"/>
    <w:rsid w:val="553C09BC"/>
    <w:rsid w:val="55841CFB"/>
    <w:rsid w:val="55C56E35"/>
    <w:rsid w:val="55CA1D79"/>
    <w:rsid w:val="55D01D97"/>
    <w:rsid w:val="567275A6"/>
    <w:rsid w:val="56D00DA3"/>
    <w:rsid w:val="56DC0CE2"/>
    <w:rsid w:val="56DC5354"/>
    <w:rsid w:val="57032C03"/>
    <w:rsid w:val="57244B18"/>
    <w:rsid w:val="572B62DF"/>
    <w:rsid w:val="572C238F"/>
    <w:rsid w:val="57C3516C"/>
    <w:rsid w:val="57E675AF"/>
    <w:rsid w:val="57EF6871"/>
    <w:rsid w:val="57F4177E"/>
    <w:rsid w:val="58240039"/>
    <w:rsid w:val="583E67FE"/>
    <w:rsid w:val="58400129"/>
    <w:rsid w:val="585E498C"/>
    <w:rsid w:val="585F180A"/>
    <w:rsid w:val="587970AE"/>
    <w:rsid w:val="58A143C6"/>
    <w:rsid w:val="58F433FF"/>
    <w:rsid w:val="595A121E"/>
    <w:rsid w:val="59C65DC2"/>
    <w:rsid w:val="59C75644"/>
    <w:rsid w:val="5A7A0260"/>
    <w:rsid w:val="5A814BDD"/>
    <w:rsid w:val="5AA758C9"/>
    <w:rsid w:val="5AB5526E"/>
    <w:rsid w:val="5AC54FDB"/>
    <w:rsid w:val="5AF07FF7"/>
    <w:rsid w:val="5AF422E5"/>
    <w:rsid w:val="5B3B7F82"/>
    <w:rsid w:val="5B647D05"/>
    <w:rsid w:val="5B6858CF"/>
    <w:rsid w:val="5B8508B6"/>
    <w:rsid w:val="5B8D1FED"/>
    <w:rsid w:val="5BA105AC"/>
    <w:rsid w:val="5BC940E0"/>
    <w:rsid w:val="5BD85C98"/>
    <w:rsid w:val="5BF26431"/>
    <w:rsid w:val="5BFA172C"/>
    <w:rsid w:val="5C494988"/>
    <w:rsid w:val="5C880332"/>
    <w:rsid w:val="5CB57D16"/>
    <w:rsid w:val="5CD36306"/>
    <w:rsid w:val="5CE549FC"/>
    <w:rsid w:val="5D023328"/>
    <w:rsid w:val="5D1D2554"/>
    <w:rsid w:val="5D2F7CD6"/>
    <w:rsid w:val="5D7D4759"/>
    <w:rsid w:val="5D830A96"/>
    <w:rsid w:val="5E0115A0"/>
    <w:rsid w:val="5E5E0C68"/>
    <w:rsid w:val="5E780DEA"/>
    <w:rsid w:val="5E9D367C"/>
    <w:rsid w:val="5EDE4AA5"/>
    <w:rsid w:val="5F5622E4"/>
    <w:rsid w:val="5F631FA8"/>
    <w:rsid w:val="5F721888"/>
    <w:rsid w:val="5F750B1F"/>
    <w:rsid w:val="5F8A32D2"/>
    <w:rsid w:val="60440F72"/>
    <w:rsid w:val="605104DD"/>
    <w:rsid w:val="6071382F"/>
    <w:rsid w:val="60867BFB"/>
    <w:rsid w:val="60871227"/>
    <w:rsid w:val="609430EC"/>
    <w:rsid w:val="60AC41CD"/>
    <w:rsid w:val="6133512D"/>
    <w:rsid w:val="614566A2"/>
    <w:rsid w:val="61663C93"/>
    <w:rsid w:val="61997FE5"/>
    <w:rsid w:val="61AD3F41"/>
    <w:rsid w:val="61AF6C07"/>
    <w:rsid w:val="61BF3EA8"/>
    <w:rsid w:val="61E93730"/>
    <w:rsid w:val="62591EBD"/>
    <w:rsid w:val="632D3B23"/>
    <w:rsid w:val="6386412B"/>
    <w:rsid w:val="639000ED"/>
    <w:rsid w:val="63A44F76"/>
    <w:rsid w:val="63BC2D1F"/>
    <w:rsid w:val="64165B94"/>
    <w:rsid w:val="6456298D"/>
    <w:rsid w:val="645A2367"/>
    <w:rsid w:val="64FE5F12"/>
    <w:rsid w:val="654B48AE"/>
    <w:rsid w:val="65507243"/>
    <w:rsid w:val="65576B9C"/>
    <w:rsid w:val="656027FF"/>
    <w:rsid w:val="65891AB8"/>
    <w:rsid w:val="65B11FF7"/>
    <w:rsid w:val="65BA58F3"/>
    <w:rsid w:val="66410285"/>
    <w:rsid w:val="66457E51"/>
    <w:rsid w:val="664A0A82"/>
    <w:rsid w:val="6650714A"/>
    <w:rsid w:val="6680376E"/>
    <w:rsid w:val="66ED31EA"/>
    <w:rsid w:val="6754041A"/>
    <w:rsid w:val="67BF1301"/>
    <w:rsid w:val="67E120F3"/>
    <w:rsid w:val="67E72DEC"/>
    <w:rsid w:val="67FA3E47"/>
    <w:rsid w:val="68085293"/>
    <w:rsid w:val="6851376E"/>
    <w:rsid w:val="686C31D7"/>
    <w:rsid w:val="689947BF"/>
    <w:rsid w:val="68F07009"/>
    <w:rsid w:val="690A49BA"/>
    <w:rsid w:val="691A3243"/>
    <w:rsid w:val="69631CC1"/>
    <w:rsid w:val="696C42BB"/>
    <w:rsid w:val="698A6B0F"/>
    <w:rsid w:val="69BA4D2E"/>
    <w:rsid w:val="69D232C1"/>
    <w:rsid w:val="6A0F7B28"/>
    <w:rsid w:val="6A27755C"/>
    <w:rsid w:val="6A782EAA"/>
    <w:rsid w:val="6ABA7E95"/>
    <w:rsid w:val="6AC678E7"/>
    <w:rsid w:val="6B4E3F04"/>
    <w:rsid w:val="6B58578D"/>
    <w:rsid w:val="6B5F2CCD"/>
    <w:rsid w:val="6B704279"/>
    <w:rsid w:val="6BB753C9"/>
    <w:rsid w:val="6BD06E0B"/>
    <w:rsid w:val="6C4E23A0"/>
    <w:rsid w:val="6C8E495B"/>
    <w:rsid w:val="6C911A64"/>
    <w:rsid w:val="6CCC0C2E"/>
    <w:rsid w:val="6D020EA1"/>
    <w:rsid w:val="6D221C0A"/>
    <w:rsid w:val="6D78666A"/>
    <w:rsid w:val="6DD86485"/>
    <w:rsid w:val="6E0F1211"/>
    <w:rsid w:val="6EF677CA"/>
    <w:rsid w:val="6F560EDF"/>
    <w:rsid w:val="6F60096A"/>
    <w:rsid w:val="6F64491D"/>
    <w:rsid w:val="6F6E1156"/>
    <w:rsid w:val="6FBD0858"/>
    <w:rsid w:val="70180E63"/>
    <w:rsid w:val="70A63951"/>
    <w:rsid w:val="70CF6A45"/>
    <w:rsid w:val="711B1DE7"/>
    <w:rsid w:val="71327C99"/>
    <w:rsid w:val="7150596E"/>
    <w:rsid w:val="71747BAE"/>
    <w:rsid w:val="71957047"/>
    <w:rsid w:val="71B7115A"/>
    <w:rsid w:val="71C7583B"/>
    <w:rsid w:val="71F715BA"/>
    <w:rsid w:val="722D1013"/>
    <w:rsid w:val="72925464"/>
    <w:rsid w:val="72940930"/>
    <w:rsid w:val="72DF5C92"/>
    <w:rsid w:val="72E1752D"/>
    <w:rsid w:val="72E4751A"/>
    <w:rsid w:val="72F06546"/>
    <w:rsid w:val="73070EC2"/>
    <w:rsid w:val="731C432C"/>
    <w:rsid w:val="73291A5F"/>
    <w:rsid w:val="73311390"/>
    <w:rsid w:val="739429BE"/>
    <w:rsid w:val="73A015C2"/>
    <w:rsid w:val="73A913CF"/>
    <w:rsid w:val="73C4277F"/>
    <w:rsid w:val="73EB1497"/>
    <w:rsid w:val="74000A47"/>
    <w:rsid w:val="74155ACF"/>
    <w:rsid w:val="74181B33"/>
    <w:rsid w:val="741B2927"/>
    <w:rsid w:val="741E3589"/>
    <w:rsid w:val="74885606"/>
    <w:rsid w:val="74B93719"/>
    <w:rsid w:val="74DE1C4C"/>
    <w:rsid w:val="74E008E0"/>
    <w:rsid w:val="751115BE"/>
    <w:rsid w:val="752D1850"/>
    <w:rsid w:val="75740E00"/>
    <w:rsid w:val="759D5584"/>
    <w:rsid w:val="76185042"/>
    <w:rsid w:val="763A080C"/>
    <w:rsid w:val="76EB5B39"/>
    <w:rsid w:val="77226532"/>
    <w:rsid w:val="774A235B"/>
    <w:rsid w:val="776F4F23"/>
    <w:rsid w:val="77B7463B"/>
    <w:rsid w:val="77C07B7E"/>
    <w:rsid w:val="78156E78"/>
    <w:rsid w:val="782D5EAF"/>
    <w:rsid w:val="786302A1"/>
    <w:rsid w:val="789F1175"/>
    <w:rsid w:val="78B12751"/>
    <w:rsid w:val="792E4191"/>
    <w:rsid w:val="7931734A"/>
    <w:rsid w:val="796E028F"/>
    <w:rsid w:val="79AF12CA"/>
    <w:rsid w:val="7A3D1E89"/>
    <w:rsid w:val="7A601B54"/>
    <w:rsid w:val="7A6A7EDA"/>
    <w:rsid w:val="7A6D2733"/>
    <w:rsid w:val="7A793925"/>
    <w:rsid w:val="7A9742EF"/>
    <w:rsid w:val="7A990897"/>
    <w:rsid w:val="7ADB38D4"/>
    <w:rsid w:val="7B632E6A"/>
    <w:rsid w:val="7BA47128"/>
    <w:rsid w:val="7BD0716D"/>
    <w:rsid w:val="7BD70C05"/>
    <w:rsid w:val="7BF178BE"/>
    <w:rsid w:val="7C162975"/>
    <w:rsid w:val="7C7C706C"/>
    <w:rsid w:val="7C857BC3"/>
    <w:rsid w:val="7CA72D12"/>
    <w:rsid w:val="7CFC59C6"/>
    <w:rsid w:val="7D1320C4"/>
    <w:rsid w:val="7D3C13AA"/>
    <w:rsid w:val="7D494141"/>
    <w:rsid w:val="7DBC5A56"/>
    <w:rsid w:val="7DD2691C"/>
    <w:rsid w:val="7DFA3D71"/>
    <w:rsid w:val="7E237976"/>
    <w:rsid w:val="7E3563A1"/>
    <w:rsid w:val="7E387110"/>
    <w:rsid w:val="7E9326F9"/>
    <w:rsid w:val="7EE20452"/>
    <w:rsid w:val="7EED743D"/>
    <w:rsid w:val="7F0C7F31"/>
    <w:rsid w:val="7F395D9C"/>
    <w:rsid w:val="7FBA0776"/>
    <w:rsid w:val="7FDE0A9A"/>
    <w:rsid w:val="7FEF7EC6"/>
    <w:rsid w:val="7FF441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28"/>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4"/>
    </w:rPr>
  </w:style>
  <w:style w:type="paragraph" w:styleId="4">
    <w:name w:val="heading 3"/>
    <w:basedOn w:val="3"/>
    <w:next w:val="1"/>
    <w:link w:val="106"/>
    <w:qFormat/>
    <w:uiPriority w:val="0"/>
    <w:pPr>
      <w:numPr>
        <w:ilvl w:val="2"/>
      </w:numPr>
      <w:spacing w:before="120"/>
      <w:outlineLvl w:val="2"/>
    </w:pPr>
    <w:rPr>
      <w:sz w:val="20"/>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28"/>
      <w:lang w:val="en-GB" w:eastAsia="en-US"/>
    </w:rPr>
  </w:style>
  <w:style w:type="character" w:customStyle="1" w:styleId="105">
    <w:name w:val="标题 2 Char"/>
    <w:link w:val="3"/>
    <w:qFormat/>
    <w:uiPriority w:val="0"/>
    <w:rPr>
      <w:rFonts w:ascii="Arial" w:hAnsi="Arial" w:eastAsia="宋体"/>
      <w:sz w:val="24"/>
      <w:lang w:val="en-GB" w:eastAsia="en-US"/>
    </w:rPr>
  </w:style>
  <w:style w:type="character" w:customStyle="1" w:styleId="106">
    <w:name w:val="标题 3 Char"/>
    <w:link w:val="4"/>
    <w:qFormat/>
    <w:uiPriority w:val="0"/>
    <w:rPr>
      <w:rFonts w:ascii="Arial" w:hAnsi="Arial" w:eastAsia="宋体"/>
      <w:sz w:val="20"/>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uiPriority w:val="0"/>
    <w:rPr>
      <w:rFonts w:ascii="Times New Roman" w:hAnsi="Times New Roman"/>
      <w:lang w:eastAsia="en-US"/>
    </w:rPr>
  </w:style>
  <w:style w:type="character" w:customStyle="1" w:styleId="134">
    <w:name w:val="B1 Char1"/>
    <w:basedOn w:val="52"/>
    <w:link w:val="87"/>
    <w:qFormat/>
    <w:uiPriority w:val="0"/>
    <w:rPr>
      <w:lang w:eastAsia="en-US"/>
    </w:rPr>
  </w:style>
  <w:style w:type="character" w:customStyle="1" w:styleId="135">
    <w:name w:val="B2 Char"/>
    <w:basedOn w:val="52"/>
    <w:link w:val="88"/>
    <w:qFormat/>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Agreement"/>
    <w:basedOn w:val="1"/>
    <w:next w:val="159"/>
    <w:qFormat/>
    <w:uiPriority w:val="0"/>
    <w:pPr>
      <w:numPr>
        <w:ilvl w:val="0"/>
        <w:numId w:val="9"/>
      </w:numPr>
      <w:spacing w:before="60"/>
    </w:pPr>
    <w:rPr>
      <w:b/>
    </w:rPr>
  </w:style>
  <w:style w:type="paragraph" w:customStyle="1" w:styleId="159">
    <w:name w:val="Doc-text2"/>
    <w:basedOn w:val="1"/>
    <w:qFormat/>
    <w:uiPriority w:val="0"/>
    <w:pPr>
      <w:tabs>
        <w:tab w:val="left" w:pos="1622"/>
      </w:tabs>
      <w:overflowPunct/>
      <w:autoSpaceDE/>
      <w:autoSpaceDN/>
      <w:adjustRightInd/>
      <w:spacing w:after="0"/>
      <w:ind w:left="1622" w:hanging="363"/>
      <w:textAlignment w:val="auto"/>
    </w:pPr>
    <w:rPr>
      <w:rFonts w:ascii="Arial" w:hAnsi="Arial" w:eastAsia="MS Mincho"/>
      <w:szCs w:val="24"/>
      <w:lang w:eastAsia="en-GB"/>
    </w:rPr>
  </w:style>
  <w:style w:type="table" w:customStyle="1" w:styleId="160">
    <w:name w:val="Table Grid6"/>
    <w:basedOn w:val="50"/>
    <w:qFormat/>
    <w:uiPriority w:val="39"/>
    <w:pPr>
      <w:spacing w:after="180"/>
    </w:pPr>
    <w:rPr>
      <w:rFonts w:ascii="Tms Rmn" w:hAnsi="Tms Rm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2FF60E-EDDE-47F2-966E-A40547D413B7}">
  <ds:schemaRefs/>
</ds:datastoreItem>
</file>

<file path=customXml/itemProps3.xml><?xml version="1.0" encoding="utf-8"?>
<ds:datastoreItem xmlns:ds="http://schemas.openxmlformats.org/officeDocument/2006/customXml" ds:itemID="{4F156B33-FE54-4BF7-8206-606715473FFD}">
  <ds:schemaRefs/>
</ds:datastoreItem>
</file>

<file path=customXml/itemProps4.xml><?xml version="1.0" encoding="utf-8"?>
<ds:datastoreItem xmlns:ds="http://schemas.openxmlformats.org/officeDocument/2006/customXml" ds:itemID="{04BF5348-08CE-46A2-B6C7-D667930F0DC1}">
  <ds:schemaRefs/>
</ds:datastoreItem>
</file>

<file path=customXml/itemProps5.xml><?xml version="1.0" encoding="utf-8"?>
<ds:datastoreItem xmlns:ds="http://schemas.openxmlformats.org/officeDocument/2006/customXml" ds:itemID="{DE437376-A7B6-47B7-A9FE-9D6C62534131}">
  <ds:schemaRefs/>
</ds:datastoreItem>
</file>

<file path=customXml/itemProps6.xml><?xml version="1.0" encoding="utf-8"?>
<ds:datastoreItem xmlns:ds="http://schemas.openxmlformats.org/officeDocument/2006/customXml" ds:itemID="{3A66329E-49EA-4FC8-8863-DF5E3FA6D74F}">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12</Pages>
  <Words>4541</Words>
  <Characters>25886</Characters>
  <Lines>215</Lines>
  <Paragraphs>60</Paragraphs>
  <TotalTime>0</TotalTime>
  <ScaleCrop>false</ScaleCrop>
  <LinksUpToDate>false</LinksUpToDate>
  <CharactersWithSpaces>30367</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2020-04-10T11:34:00Z</dcterms:created>
  <dc:creator>ZTE Corporation</dc:creator>
  <cp:lastModifiedBy>ZTE</cp:lastModifiedBy>
  <cp:lastPrinted>2018-04-07T03:05:00Z</cp:lastPrinted>
  <dcterms:modified xsi:type="dcterms:W3CDTF">2022-01-11T03:01:21Z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